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3.jpeg" ContentType="image/jpeg"/>
  <Override PartName="/word/media/image2.jpeg" ContentType="image/jpeg"/>
  <Override PartName="/word/media/image4.png" ContentType="image/png"/>
  <Override PartName="/word/media/image8.jpeg" ContentType="image/jpeg"/>
  <Override PartName="/word/media/image5.png" ContentType="image/png"/>
  <Override PartName="/word/media/image6.png" ContentType="image/png"/>
  <Override PartName="/word/media/image7.png" ContentType="image/png"/>
  <Override PartName="/word/media/image9.png" ContentType="image/pn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mc:AlternateContent>
          <mc:Choice Requires="wps">
            <w:drawing>
              <wp:anchor behindDoc="0" distT="71120" distB="73025" distL="71120" distR="72390" simplePos="0" locked="0" layoutInCell="0" allowOverlap="1" relativeHeight="4" wp14:anchorId="28A3BD80">
                <wp:simplePos x="0" y="0"/>
                <wp:positionH relativeFrom="column">
                  <wp:align>center</wp:align>
                </wp:positionH>
                <wp:positionV relativeFrom="line">
                  <wp:align>top</wp:align>
                </wp:positionV>
                <wp:extent cx="4547235" cy="328295"/>
                <wp:effectExtent l="1270" t="1270" r="0" b="0"/>
                <wp:wrapSquare wrapText="bothSides"/>
                <wp:docPr id="1" name="Cadre1"/>
                <a:graphic xmlns:a="http://schemas.openxmlformats.org/drawingml/2006/main">
                  <a:graphicData uri="http://schemas.microsoft.com/office/word/2010/wordprocessingShape">
                    <wps:wsp>
                      <wps:cNvSpPr/>
                      <wps:spPr>
                        <a:xfrm>
                          <a:off x="0" y="0"/>
                          <a:ext cx="4547160" cy="328320"/>
                        </a:xfrm>
                        <a:prstGeom prst="rect">
                          <a:avLst/>
                        </a:prstGeom>
                        <a:solidFill>
                          <a:srgbClr val="ffffff"/>
                        </a:solidFill>
                        <a:ln w="635">
                          <a:solidFill>
                            <a:srgbClr val="000000"/>
                          </a:solidFill>
                          <a:round/>
                        </a:ln>
                      </wps:spPr>
                      <wps:style>
                        <a:lnRef idx="0"/>
                        <a:fillRef idx="0"/>
                        <a:effectRef idx="0"/>
                        <a:fontRef idx="minor"/>
                      </wps:style>
                      <wps:txbx>
                        <w:txbxContent>
                          <w:p>
                            <w:pPr>
                              <w:pStyle w:val="Contenudecadre"/>
                              <w:jc w:val="center"/>
                              <w:rPr>
                                <w:rFonts w:ascii="Times New Roman" w:hAnsi="Times New Roman"/>
                                <w:b/>
                                <w:b/>
                                <w:bCs/>
                                <w:sz w:val="30"/>
                                <w:szCs w:val="30"/>
                              </w:rPr>
                            </w:pPr>
                            <w:r>
                              <w:rPr>
                                <w:rFonts w:ascii="Times New Roman" w:hAnsi="Times New Roman"/>
                                <w:b/>
                                <w:bCs/>
                                <w:color w:val="000000"/>
                                <w:sz w:val="30"/>
                                <w:szCs w:val="30"/>
                              </w:rPr>
                              <w:t>Inexistence d'un effet de serre "naturel"</w:t>
                            </w:r>
                          </w:p>
                        </w:txbxContent>
                      </wps:txbx>
                      <wps:bodyPr lIns="54000" rIns="54000" tIns="54000" bIns="54000" anchor="t">
                        <a:noAutofit/>
                      </wps:bodyPr>
                    </wps:wsp>
                  </a:graphicData>
                </a:graphic>
              </wp:anchor>
            </w:drawing>
          </mc:Choice>
          <mc:Fallback>
            <w:pict>
              <v:rect id="shape_0" ID="Cadre1" path="m0,0l-2147483645,0l-2147483645,-2147483646l0,-2147483646xe" fillcolor="white" stroked="t" o:allowincell="f" style="position:absolute;margin-left:61.9pt;margin-top:5.6pt;width:358pt;height:25.8pt;mso-wrap-style:square;v-text-anchor:top;mso-position-horizontal:center;mso-position-vertical:bottom" wp14:anchorId="28A3BD80">
                <v:fill o:detectmouseclick="t" type="solid" color2="black"/>
                <v:stroke color="black" weight="720" joinstyle="round" endcap="flat"/>
                <v:textbox>
                  <w:txbxContent>
                    <w:p>
                      <w:pPr>
                        <w:pStyle w:val="Contenudecadre"/>
                        <w:jc w:val="center"/>
                        <w:rPr>
                          <w:rFonts w:ascii="Times New Roman" w:hAnsi="Times New Roman"/>
                          <w:b/>
                          <w:b/>
                          <w:bCs/>
                          <w:sz w:val="30"/>
                          <w:szCs w:val="30"/>
                        </w:rPr>
                      </w:pPr>
                      <w:r>
                        <w:rPr>
                          <w:rFonts w:ascii="Times New Roman" w:hAnsi="Times New Roman"/>
                          <w:b/>
                          <w:bCs/>
                          <w:color w:val="000000"/>
                          <w:sz w:val="30"/>
                          <w:szCs w:val="30"/>
                        </w:rPr>
                        <w:t>Inexistence d'un effet de serre "naturel"</w:t>
                      </w:r>
                    </w:p>
                  </w:txbxContent>
                </v:textbox>
                <w10:wrap type="square"/>
              </v:rect>
            </w:pict>
          </mc:Fallback>
        </mc:AlternateContent>
      </w:r>
    </w:p>
    <w:p>
      <w:pPr>
        <w:pStyle w:val="Normal"/>
        <w:rPr/>
      </w:pPr>
      <w:r>
        <w:rPr/>
      </w:r>
    </w:p>
    <w:p>
      <w:pPr>
        <w:pStyle w:val="Normal"/>
        <w:rPr/>
      </w:pPr>
      <w:r>
        <w:rPr/>
        <w:t xml:space="preserve">                                                                                                                                                       </w:t>
      </w:r>
    </w:p>
    <w:p>
      <w:pPr>
        <w:pStyle w:val="Normal"/>
        <w:rPr/>
      </w:pPr>
      <w:r>
        <w:rPr/>
      </w:r>
    </w:p>
    <w:p>
      <w:pPr>
        <w:pStyle w:val="Normal"/>
        <w:rPr/>
      </w:pPr>
      <w:r>
        <w:rPr/>
        <w:t xml:space="preserve">                                                                   </w:t>
      </w:r>
      <w:r>
        <w:rPr/>
        <w:t>par</w:t>
      </w:r>
      <w:r>
        <w:rPr>
          <w:rFonts w:ascii="Times New Roman" w:hAnsi="Times New Roman"/>
          <w:sz w:val="22"/>
          <w:szCs w:val="22"/>
        </w:rPr>
        <w:t xml:space="preserve"> Yves Courtieu</w:t>
      </w:r>
      <w:r>
        <w:rPr>
          <w:rStyle w:val="Ancredenotedebasdepage"/>
          <w:rFonts w:ascii="Times New Roman" w:hAnsi="Times New Roman"/>
          <w:sz w:val="22"/>
          <w:szCs w:val="22"/>
        </w:rPr>
        <w:footnoteReference w:id="2"/>
      </w:r>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Chercheur indépendant, titulaire d'une maîtrise en mathématiques et applications fondamentales</w:t>
      </w:r>
    </w:p>
    <w:p>
      <w:pPr>
        <w:pStyle w:val="Normal"/>
        <w:rPr/>
      </w:pPr>
      <w:r>
        <w:rPr/>
      </w:r>
    </w:p>
    <w:p>
      <w:pPr>
        <w:pStyle w:val="Normal"/>
        <w:rPr/>
      </w:pPr>
      <w:r>
        <w:rPr/>
      </w:r>
    </w:p>
    <w:p>
      <w:pPr>
        <w:pStyle w:val="Normal"/>
        <w:jc w:val="both"/>
        <w:rPr>
          <w:rFonts w:ascii="Times New Roman" w:hAnsi="Times New Roman"/>
          <w:b/>
          <w:b/>
          <w:bCs/>
          <w:sz w:val="26"/>
          <w:szCs w:val="26"/>
        </w:rPr>
      </w:pPr>
      <w:r>
        <w:rPr>
          <w:rFonts w:ascii="Times New Roman" w:hAnsi="Times New Roman"/>
          <w:b/>
          <w:bCs/>
          <w:sz w:val="26"/>
          <w:szCs w:val="26"/>
        </w:rPr>
        <w:t>Résumé :</w:t>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sz w:val="22"/>
          <w:szCs w:val="22"/>
        </w:rPr>
      </w:pPr>
      <w:r>
        <w:rPr>
          <w:rFonts w:ascii="Times New Roman" w:hAnsi="Times New Roman"/>
          <w:sz w:val="22"/>
          <w:szCs w:val="22"/>
        </w:rPr>
        <w:tab/>
        <w:t xml:space="preserve">L'idée que les gaz à effet de serre (GES) ont un effet significatif sur la température du sol terrestre est rattachée à plus ou moins juste titre aux travaux de Fourier (1824) [1-2], </w:t>
      </w:r>
      <w:r>
        <w:rPr>
          <w:rFonts w:ascii="Times New Roman" w:hAnsi="Times New Roman"/>
          <w:color w:val="C00000"/>
          <w:sz w:val="22"/>
          <w:szCs w:val="22"/>
        </w:rPr>
        <w:t xml:space="preserve"> </w:t>
      </w:r>
      <w:r>
        <w:rPr>
          <w:rFonts w:ascii="Times New Roman" w:hAnsi="Times New Roman"/>
          <w:sz w:val="22"/>
          <w:szCs w:val="22"/>
        </w:rPr>
        <w:t>Tyndall (1861) [3-7] et Arrhenius (1896) [8-10]. Les développements que cette idée a connus depuis peuvent se résumer en deux affirmations ou plutôt deux hypothèses</w:t>
      </w:r>
      <w:r>
        <w:rPr>
          <w:rFonts w:ascii="Times New Roman" w:hAnsi="Times New Roman"/>
          <w:color w:val="C00000"/>
          <w:sz w:val="22"/>
          <w:szCs w:val="22"/>
        </w:rPr>
        <w:t xml:space="preserve"> </w:t>
      </w:r>
      <w:r>
        <w:rPr>
          <w:rFonts w:ascii="Times New Roman" w:hAnsi="Times New Roman"/>
          <w:sz w:val="22"/>
          <w:szCs w:val="22"/>
        </w:rPr>
        <w:t>de base :</w:t>
      </w:r>
    </w:p>
    <w:p>
      <w:pPr>
        <w:pStyle w:val="Normal"/>
        <w:jc w:val="both"/>
        <w:rPr>
          <w:rFonts w:ascii="Times New Roman" w:hAnsi="Times New Roman"/>
          <w:sz w:val="22"/>
          <w:szCs w:val="22"/>
        </w:rPr>
      </w:pPr>
      <w:r>
        <w:rPr>
          <w:rFonts w:ascii="Times New Roman" w:hAnsi="Times New Roman"/>
          <w:b/>
          <w:bCs/>
          <w:strike w:val="false"/>
          <w:dstrike w:val="false"/>
          <w:sz w:val="22"/>
          <w:szCs w:val="22"/>
        </w:rPr>
        <w:br/>
        <w:tab/>
        <w:t xml:space="preserve">Hypothèse </w:t>
      </w:r>
      <w:r>
        <w:rPr>
          <w:rFonts w:ascii="Times New Roman" w:hAnsi="Times New Roman"/>
          <w:b/>
          <w:bCs/>
          <w:sz w:val="22"/>
          <w:szCs w:val="22"/>
        </w:rPr>
        <w:t xml:space="preserve">1 : </w:t>
      </w:r>
      <w:r>
        <w:rPr>
          <w:rFonts w:ascii="Times New Roman" w:hAnsi="Times New Roman"/>
          <w:sz w:val="22"/>
          <w:szCs w:val="22"/>
        </w:rPr>
        <w:t xml:space="preserve">sans la présence de gaz à effet de serre, croit-on pouvoir calculer, le sol de la terre serait à une température de l'ordre de -18°C. Or, depuis des millénaires, </w:t>
      </w:r>
      <w:r>
        <w:rPr>
          <w:rFonts w:ascii="Times New Roman" w:hAnsi="Times New Roman"/>
          <w:color w:val="000000"/>
          <w:sz w:val="22"/>
          <w:szCs w:val="22"/>
        </w:rPr>
        <w:t xml:space="preserve">la surface du globe, à 71% océanique, </w:t>
      </w:r>
      <w:r>
        <w:rPr>
          <w:rFonts w:ascii="Times New Roman" w:hAnsi="Times New Roman"/>
          <w:sz w:val="22"/>
          <w:szCs w:val="22"/>
        </w:rPr>
        <w:t xml:space="preserve">reste grossièrement, mais de façon toujours remarquablement stable, à une température </w:t>
      </w:r>
      <w:r>
        <w:rPr>
          <w:rFonts w:ascii="Times New Roman" w:hAnsi="Times New Roman"/>
          <w:color w:val="000000"/>
          <w:sz w:val="22"/>
          <w:szCs w:val="22"/>
        </w:rPr>
        <w:t>« moyenne »</w:t>
      </w:r>
      <w:r>
        <w:rPr>
          <w:rFonts w:ascii="Times New Roman" w:hAnsi="Times New Roman"/>
          <w:color w:val="C00000"/>
          <w:sz w:val="22"/>
          <w:szCs w:val="22"/>
        </w:rPr>
        <w:t xml:space="preserve"> </w:t>
      </w:r>
      <w:r>
        <w:rPr>
          <w:rFonts w:ascii="Times New Roman" w:hAnsi="Times New Roman"/>
          <w:sz w:val="22"/>
          <w:szCs w:val="22"/>
        </w:rPr>
        <w:t xml:space="preserve">de l'ordre de 15°C. L'explication de la différence de 33°C entre ces deux températures a été  et </w:t>
      </w:r>
      <w:r>
        <w:rPr>
          <w:rFonts w:ascii="Times New Roman" w:hAnsi="Times New Roman"/>
          <w:color w:val="000000"/>
          <w:sz w:val="22"/>
          <w:szCs w:val="22"/>
        </w:rPr>
        <w:t xml:space="preserve">est </w:t>
      </w:r>
      <w:r>
        <w:rPr>
          <w:rFonts w:ascii="Times New Roman" w:hAnsi="Times New Roman"/>
          <w:sz w:val="22"/>
          <w:szCs w:val="22"/>
        </w:rPr>
        <w:t xml:space="preserve">attribuée à l'influence des gaz à effet de serre. Voir par exemple </w:t>
      </w:r>
      <w:r>
        <w:rPr>
          <w:rFonts w:ascii="Times New Roman" w:hAnsi="Times New Roman"/>
          <w:color w:val="000000"/>
          <w:sz w:val="22"/>
          <w:szCs w:val="22"/>
        </w:rPr>
        <w:t xml:space="preserve">Wikipedia en anglais </w:t>
      </w:r>
      <w:r>
        <w:rPr>
          <w:rFonts w:ascii="Times New Roman" w:hAnsi="Times New Roman"/>
          <w:color w:val="C00000"/>
          <w:sz w:val="22"/>
          <w:szCs w:val="22"/>
        </w:rPr>
        <w:t xml:space="preserve"> </w:t>
      </w:r>
      <w:hyperlink r:id="rId2">
        <w:r>
          <w:rPr>
            <w:rStyle w:val="LienInternet"/>
            <w:rFonts w:ascii="Times New Roman" w:hAnsi="Times New Roman"/>
            <w:sz w:val="22"/>
            <w:szCs w:val="22"/>
          </w:rPr>
          <w:t>https://en.wikipedia.org/wiki/Greenhouse_effect</w:t>
        </w:r>
      </w:hyperlink>
      <w:r>
        <w:rPr>
          <w:rFonts w:ascii="Times New Roman" w:hAnsi="Times New Roman"/>
          <w:sz w:val="22"/>
          <w:szCs w:val="22"/>
        </w:rPr>
        <w:t xml:space="preserve"> ) </w:t>
      </w:r>
    </w:p>
    <w:p>
      <w:pPr>
        <w:pStyle w:val="Normal"/>
        <w:jc w:val="both"/>
        <w:rPr>
          <w:rFonts w:ascii="Times New Roman" w:hAnsi="Times New Roman"/>
          <w:color w:val="C00000"/>
          <w:sz w:val="22"/>
          <w:szCs w:val="22"/>
        </w:rPr>
      </w:pPr>
      <w:r>
        <w:rPr>
          <w:rFonts w:ascii="Times New Roman" w:hAnsi="Times New Roman"/>
          <w:color w:val="C00000"/>
          <w:sz w:val="22"/>
          <w:szCs w:val="22"/>
        </w:rPr>
      </w:r>
    </w:p>
    <w:p>
      <w:pPr>
        <w:pStyle w:val="Normal"/>
        <w:jc w:val="both"/>
        <w:rPr>
          <w:rFonts w:ascii="Times New Roman" w:hAnsi="Times New Roman"/>
          <w:sz w:val="22"/>
          <w:szCs w:val="22"/>
        </w:rPr>
      </w:pPr>
      <w:r>
        <w:rPr>
          <w:rFonts w:ascii="Times New Roman" w:hAnsi="Times New Roman"/>
          <w:sz w:val="22"/>
          <w:szCs w:val="22"/>
        </w:rPr>
        <w:tab/>
      </w:r>
      <w:r>
        <w:rPr>
          <w:rFonts w:ascii="Times New Roman" w:hAnsi="Times New Roman"/>
          <w:b/>
          <w:bCs/>
          <w:strike w:val="false"/>
          <w:dstrike w:val="false"/>
          <w:sz w:val="22"/>
          <w:szCs w:val="22"/>
        </w:rPr>
        <w:t xml:space="preserve">Hypothèse </w:t>
      </w:r>
      <w:r>
        <w:rPr>
          <w:rFonts w:ascii="Times New Roman" w:hAnsi="Times New Roman"/>
          <w:b/>
          <w:bCs/>
          <w:sz w:val="22"/>
          <w:szCs w:val="22"/>
        </w:rPr>
        <w:t xml:space="preserve">2 </w:t>
      </w:r>
      <w:r>
        <w:rPr>
          <w:rFonts w:ascii="Times New Roman" w:hAnsi="Times New Roman"/>
          <w:sz w:val="22"/>
          <w:szCs w:val="22"/>
        </w:rPr>
        <w:t>: Une conséquence de cette hypothèse se déroulerait sous nos yeux. C'est le réchauffement du climat depuis un siècle, estimé à environ 1,5°C depuis l'avènement de l'ère industrielle. Ce réchauffement est actuellement attribué à l'augmentation de la concentration dans l'atmosphère de l'un des gaz à effet de serre, le CO</w:t>
      </w:r>
      <w:r>
        <w:rPr>
          <w:rFonts w:ascii="Times New Roman" w:hAnsi="Times New Roman"/>
          <w:sz w:val="22"/>
          <w:szCs w:val="22"/>
          <w:vertAlign w:val="subscript"/>
        </w:rPr>
        <w:t>2</w:t>
      </w:r>
      <w:r>
        <w:rPr>
          <w:rFonts w:ascii="Times New Roman" w:hAnsi="Times New Roman"/>
          <w:sz w:val="22"/>
          <w:szCs w:val="22"/>
        </w:rPr>
        <w:t>.</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Cet article se propose de donner des arguments très sérieux pour une réfutation de </w:t>
      </w:r>
      <w:r>
        <w:rPr>
          <w:rFonts w:ascii="Times New Roman" w:hAnsi="Times New Roman"/>
          <w:color w:val="000000"/>
          <w:sz w:val="22"/>
          <w:szCs w:val="22"/>
        </w:rPr>
        <w:t xml:space="preserve">l’hypothèse </w:t>
      </w:r>
      <w:r>
        <w:rPr>
          <w:rFonts w:ascii="Times New Roman" w:hAnsi="Times New Roman"/>
          <w:sz w:val="22"/>
          <w:szCs w:val="22"/>
        </w:rPr>
        <w:t xml:space="preserve">1, à savoir l'existence d'un effet de serre naturel sur notre terre. Il </w:t>
      </w:r>
      <w:r>
        <w:rPr>
          <w:rFonts w:ascii="Times New Roman" w:hAnsi="Times New Roman"/>
          <w:color w:val="000000"/>
          <w:sz w:val="22"/>
          <w:szCs w:val="22"/>
        </w:rPr>
        <w:t>part</w:t>
      </w:r>
      <w:r>
        <w:rPr>
          <w:rFonts w:ascii="Times New Roman" w:hAnsi="Times New Roman"/>
          <w:color w:val="C00000"/>
          <w:sz w:val="22"/>
          <w:szCs w:val="22"/>
        </w:rPr>
        <w:t xml:space="preserve"> </w:t>
      </w:r>
      <w:r>
        <w:rPr>
          <w:rFonts w:ascii="Times New Roman" w:hAnsi="Times New Roman"/>
          <w:sz w:val="22"/>
          <w:szCs w:val="22"/>
        </w:rPr>
        <w:t>du calcul effectué en 2009 par les physiciens allemands Gerlich et Tscheuschner, à notre sens parfaitement correct mathématiquement et physiquement  dans leur article intitulé "Falsification Of The Atmospheric CO</w:t>
      </w:r>
      <w:r>
        <w:rPr>
          <w:rFonts w:ascii="Times New Roman" w:hAnsi="Times New Roman"/>
          <w:sz w:val="22"/>
          <w:szCs w:val="22"/>
          <w:vertAlign w:val="subscript"/>
        </w:rPr>
        <w:t>2</w:t>
      </w:r>
      <w:r>
        <w:rPr>
          <w:rFonts w:ascii="Times New Roman" w:hAnsi="Times New Roman"/>
          <w:sz w:val="22"/>
          <w:szCs w:val="22"/>
        </w:rPr>
        <w:t xml:space="preserve"> Greenhouse Effects Within The Frame Of Physics" [11] </w:t>
      </w:r>
    </w:p>
    <w:p>
      <w:pPr>
        <w:pStyle w:val="Normal"/>
        <w:jc w:val="both"/>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ab/>
        <w:t>L'hypothèse 2 en devient plus que douteuse, mais ne sera pas examinée dans cet article.</w:t>
      </w:r>
    </w:p>
    <w:p>
      <w:pPr>
        <w:pStyle w:val="Normal"/>
        <w:rPr>
          <w:rFonts w:ascii="Times New Roman" w:hAnsi="Times New Roman"/>
          <w:sz w:val="22"/>
          <w:szCs w:val="22"/>
        </w:rPr>
      </w:pPr>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r>
      <w:r>
        <w:rPr>
          <w:rFonts w:ascii="Times New Roman" w:hAnsi="Times New Roman"/>
          <w:b/>
          <w:bCs/>
          <w:sz w:val="22"/>
          <w:szCs w:val="22"/>
        </w:rPr>
        <w:t>Le point essentiel :</w:t>
      </w:r>
    </w:p>
    <w:p>
      <w:pPr>
        <w:pStyle w:val="Normal"/>
        <w:jc w:val="both"/>
        <w:rPr/>
      </w:pPr>
      <w:r>
        <w:rPr>
          <w:rFonts w:ascii="Times New Roman" w:hAnsi="Times New Roman"/>
          <w:b/>
          <w:bCs/>
          <w:sz w:val="22"/>
          <w:szCs w:val="22"/>
        </w:rPr>
        <w:br/>
        <w:tab/>
      </w:r>
      <w:r>
        <w:rPr>
          <w:rFonts w:ascii="Times New Roman" w:hAnsi="Times New Roman"/>
          <w:sz w:val="22"/>
          <w:szCs w:val="22"/>
        </w:rPr>
        <w:t xml:space="preserve">La thermodynamique du climat est liée au rayonnement solaire (rayonnement entrant) et au rayonnement terrestre infrarouge vers le cosmos (rayonnement sortant). La répartition </w:t>
      </w:r>
      <w:r>
        <w:rPr>
          <w:rFonts w:ascii="Times New Roman" w:hAnsi="Times New Roman"/>
          <w:color w:val="000000"/>
          <w:sz w:val="22"/>
          <w:szCs w:val="22"/>
        </w:rPr>
        <w:t xml:space="preserve">géographique </w:t>
      </w:r>
      <w:r>
        <w:rPr>
          <w:rFonts w:ascii="Times New Roman" w:hAnsi="Times New Roman"/>
          <w:sz w:val="22"/>
          <w:szCs w:val="22"/>
        </w:rPr>
        <w:t xml:space="preserve">du rayonnement sortant, qui se fait sur la sphère entière et celle du rayonnement entrant, qui ne se fait que sur la moitié de la sphère, par la face éclairée, sont extrêmement différentes. C’est, entre autres, de la non-prise en compte de ce fait que viennent la plupart des erreurs qui sont faites depuis des dizaines d’années. </w:t>
      </w:r>
    </w:p>
    <w:p>
      <w:pPr>
        <w:pStyle w:val="Normal"/>
        <w:jc w:val="both"/>
        <w:rPr>
          <w:rFonts w:ascii="Times New Roman" w:hAnsi="Times New Roman"/>
          <w:color w:val="C00000"/>
          <w:sz w:val="22"/>
          <w:szCs w:val="22"/>
        </w:rPr>
      </w:pPr>
      <w:r>
        <w:rPr>
          <w:rFonts w:ascii="Times New Roman" w:hAnsi="Times New Roman"/>
          <w:color w:val="C00000"/>
          <w:sz w:val="22"/>
          <w:szCs w:val="22"/>
        </w:rPr>
      </w:r>
    </w:p>
    <w:p>
      <w:pPr>
        <w:pStyle w:val="Normal"/>
        <w:rPr>
          <w:rFonts w:ascii="Times New Roman" w:hAnsi="Times New Roman"/>
          <w:b/>
          <w:b/>
          <w:bCs/>
          <w:sz w:val="22"/>
          <w:szCs w:val="22"/>
        </w:rPr>
      </w:pPr>
      <w:r>
        <w:rPr>
          <w:rFonts w:ascii="Times New Roman" w:hAnsi="Times New Roman"/>
          <w:b/>
          <w:bCs/>
          <w:sz w:val="22"/>
          <w:szCs w:val="22"/>
        </w:rPr>
      </w:r>
    </w:p>
    <w:p>
      <w:pPr>
        <w:pStyle w:val="Normal"/>
        <w:rPr>
          <w:rFonts w:ascii="Times New Roman" w:hAnsi="Times New Roman"/>
          <w:color w:val="C00000"/>
          <w:sz w:val="22"/>
          <w:szCs w:val="22"/>
        </w:rPr>
      </w:pPr>
      <w:r>
        <w:rPr>
          <w:rFonts w:ascii="Times New Roman" w:hAnsi="Times New Roman"/>
          <w:color w:val="C00000"/>
          <w:sz w:val="22"/>
          <w:szCs w:val="22"/>
        </w:rPr>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30"/>
          <w:szCs w:val="30"/>
        </w:rPr>
      </w:pPr>
      <w:r>
        <w:rPr>
          <w:rFonts w:ascii="Times New Roman" w:hAnsi="Times New Roman"/>
          <w:sz w:val="30"/>
          <w:szCs w:val="30"/>
        </w:rPr>
      </w:r>
    </w:p>
    <w:p>
      <w:pPr>
        <w:pStyle w:val="Normal"/>
        <w:rPr>
          <w:rFonts w:ascii="Times New Roman" w:hAnsi="Times New Roman"/>
          <w:sz w:val="30"/>
          <w:szCs w:val="30"/>
        </w:rPr>
      </w:pPr>
      <w:r>
        <w:rPr>
          <w:rFonts w:ascii="Times New Roman" w:hAnsi="Times New Roman"/>
          <w:b/>
          <w:bCs/>
          <w:sz w:val="30"/>
          <w:szCs w:val="30"/>
        </w:rPr>
        <w:t xml:space="preserve">I – Introduction : analyse approfondie du chiffre -18°C </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ab/>
        <w:t xml:space="preserve">Dans ce paragraphe introductif, nous analysons les raisons qui ont conduit à avancer l’idée qu’une terre sans gaz à effet de serre aurait une température de -18°C. </w:t>
      </w:r>
    </w:p>
    <w:p>
      <w:pPr>
        <w:pStyle w:val="Normal"/>
        <w:rPr/>
      </w:pPr>
      <w:r>
        <w:rPr/>
        <w:t xml:space="preserve">                                                                                                                                  </w:t>
      </w:r>
    </w:p>
    <w:p>
      <w:pPr>
        <w:pStyle w:val="Normal"/>
        <w:rPr>
          <w:rFonts w:ascii="Times New Roman" w:hAnsi="Times New Roman"/>
          <w:b/>
          <w:b/>
          <w:bCs/>
          <w:sz w:val="26"/>
          <w:szCs w:val="26"/>
        </w:rPr>
      </w:pPr>
      <w:r>
        <w:rPr>
          <w:rFonts w:ascii="Times New Roman" w:hAnsi="Times New Roman"/>
          <w:b/>
          <w:bCs/>
          <w:sz w:val="26"/>
          <w:szCs w:val="26"/>
        </w:rPr>
        <w:t xml:space="preserve">1-1. Les données du calcul effectué : </w:t>
      </w:r>
    </w:p>
    <w:p>
      <w:pPr>
        <w:pStyle w:val="Normal"/>
        <w:rPr>
          <w:rFonts w:ascii="Times New Roman" w:hAnsi="Times New Roman"/>
          <w:b/>
          <w:b/>
          <w:bCs/>
          <w:sz w:val="26"/>
          <w:szCs w:val="26"/>
        </w:rPr>
      </w:pPr>
      <w:r>
        <w:rPr>
          <w:rFonts w:ascii="Times New Roman" w:hAnsi="Times New Roman"/>
          <w:b/>
          <w:bCs/>
          <w:sz w:val="26"/>
          <w:szCs w:val="26"/>
        </w:rPr>
      </w:r>
    </w:p>
    <w:p>
      <w:pPr>
        <w:pStyle w:val="Normal"/>
        <w:rPr>
          <w:rFonts w:ascii="Times New Roman" w:hAnsi="Times New Roman"/>
        </w:rPr>
      </w:pPr>
      <w:r>
        <w:rPr>
          <w:rFonts w:ascii="Times New Roman" w:hAnsi="Times New Roman"/>
        </w:rPr>
        <w:tab/>
        <w:t>Le calcul utilise des données physiques fiables, résumées dans le tableau ci-dessous. A titre d’exemple, nous commentons et détaillons le calcul de la constante solaire, qui peut être déduite de ces données.</w:t>
      </w:r>
    </w:p>
    <w:p>
      <w:pPr>
        <w:pStyle w:val="Normal"/>
        <w:rPr>
          <w:rFonts w:ascii="Times New Roman" w:hAnsi="Times New Roman"/>
        </w:rPr>
      </w:pPr>
      <w:r>
        <w:rPr>
          <w:rFonts w:ascii="Times New Roman" w:hAnsi="Times New Roman"/>
        </w:rPr>
      </w:r>
    </w:p>
    <w:p>
      <w:pPr>
        <w:pStyle w:val="Normal"/>
        <w:jc w:val="both"/>
        <w:rPr>
          <w:b/>
          <w:b/>
          <w:bCs/>
        </w:rPr>
      </w:pPr>
      <w:r>
        <w:rPr>
          <w:b/>
          <w:bCs/>
        </w:rPr>
        <w:t xml:space="preserve">                                                                     </w:t>
      </w:r>
    </w:p>
    <w:tbl>
      <w:tblPr>
        <w:tblW w:w="5618" w:type="dxa"/>
        <w:jc w:val="left"/>
        <w:tblInd w:w="1551" w:type="dxa"/>
        <w:tblLayout w:type="fixed"/>
        <w:tblCellMar>
          <w:top w:w="55" w:type="dxa"/>
          <w:left w:w="55" w:type="dxa"/>
          <w:bottom w:w="55" w:type="dxa"/>
          <w:right w:w="55" w:type="dxa"/>
        </w:tblCellMar>
        <w:tblLook w:val="04a0" w:noHBand="0" w:noVBand="1" w:firstColumn="1" w:lastRow="0" w:lastColumn="0" w:firstRow="1"/>
      </w:tblPr>
      <w:tblGrid>
        <w:gridCol w:w="2606"/>
        <w:gridCol w:w="1809"/>
        <w:gridCol w:w="1203"/>
      </w:tblGrid>
      <w:tr>
        <w:trPr>
          <w:trHeight w:val="416" w:hRule="atLeast"/>
        </w:trPr>
        <w:tc>
          <w:tcPr>
            <w:tcW w:w="2606" w:type="dxa"/>
            <w:tcBorders>
              <w:top w:val="single" w:sz="12" w:space="0" w:color="000000"/>
              <w:left w:val="single" w:sz="12" w:space="0" w:color="000000"/>
              <w:bottom w:val="single" w:sz="12" w:space="0" w:color="000000"/>
            </w:tcBorders>
          </w:tcPr>
          <w:p>
            <w:pPr>
              <w:pStyle w:val="Contenudetableau"/>
              <w:widowControl w:val="false"/>
              <w:jc w:val="center"/>
              <w:rPr/>
            </w:pPr>
            <w:r>
              <w:rPr/>
              <w:t>Description</w:t>
            </w:r>
          </w:p>
        </w:tc>
        <w:tc>
          <w:tcPr>
            <w:tcW w:w="1809" w:type="dxa"/>
            <w:tcBorders>
              <w:top w:val="single" w:sz="12" w:space="0" w:color="000000"/>
              <w:left w:val="single" w:sz="12" w:space="0" w:color="000000"/>
              <w:bottom w:val="single" w:sz="12" w:space="0" w:color="000000"/>
            </w:tcBorders>
          </w:tcPr>
          <w:p>
            <w:pPr>
              <w:pStyle w:val="Contenudetableau"/>
              <w:widowControl w:val="false"/>
              <w:jc w:val="center"/>
              <w:rPr/>
            </w:pPr>
            <w:r>
              <w:rPr/>
              <w:t>Valeur</w:t>
            </w:r>
          </w:p>
        </w:tc>
        <w:tc>
          <w:tcPr>
            <w:tcW w:w="1203" w:type="dxa"/>
            <w:tcBorders>
              <w:top w:val="single" w:sz="12" w:space="0" w:color="000000"/>
              <w:left w:val="single" w:sz="12" w:space="0" w:color="000000"/>
              <w:bottom w:val="single" w:sz="12" w:space="0" w:color="000000"/>
              <w:right w:val="single" w:sz="12" w:space="0" w:color="000000"/>
            </w:tcBorders>
          </w:tcPr>
          <w:p>
            <w:pPr>
              <w:pStyle w:val="Contenudetableau"/>
              <w:widowControl w:val="false"/>
              <w:jc w:val="center"/>
              <w:rPr/>
            </w:pPr>
            <w:r>
              <w:rPr/>
              <w:t>Unité</w:t>
            </w:r>
          </w:p>
        </w:tc>
      </w:tr>
      <w:tr>
        <w:trPr>
          <w:trHeight w:val="416" w:hRule="atLeast"/>
        </w:trPr>
        <w:tc>
          <w:tcPr>
            <w:tcW w:w="2606" w:type="dxa"/>
            <w:tcBorders>
              <w:left w:val="single" w:sz="12" w:space="0" w:color="000000"/>
              <w:bottom w:val="single" w:sz="12" w:space="0" w:color="000000"/>
            </w:tcBorders>
          </w:tcPr>
          <w:p>
            <w:pPr>
              <w:pStyle w:val="Contenudetableau"/>
              <w:widowControl w:val="false"/>
              <w:jc w:val="center"/>
              <w:rPr/>
            </w:pPr>
            <w:r>
              <w:rPr/>
              <w:t>Température du soleil</w:t>
            </w:r>
          </w:p>
        </w:tc>
        <w:tc>
          <w:tcPr>
            <w:tcW w:w="1809" w:type="dxa"/>
            <w:tcBorders>
              <w:left w:val="single" w:sz="12" w:space="0" w:color="000000"/>
              <w:bottom w:val="single" w:sz="12" w:space="0" w:color="000000"/>
            </w:tcBorders>
          </w:tcPr>
          <w:p>
            <w:pPr>
              <w:pStyle w:val="Contenudetableau"/>
              <w:widowControl w:val="false"/>
              <w:jc w:val="center"/>
              <w:rPr/>
            </w:pPr>
            <w:r>
              <w:rPr/>
              <w:t>T</w:t>
            </w:r>
            <w:r>
              <w:rPr>
                <w:vertAlign w:val="subscript"/>
              </w:rPr>
              <w:t xml:space="preserve">S </w:t>
            </w:r>
            <w:r>
              <w:rPr/>
              <w:t xml:space="preserve">= 5777 </w:t>
            </w:r>
          </w:p>
        </w:tc>
        <w:tc>
          <w:tcPr>
            <w:tcW w:w="1203" w:type="dxa"/>
            <w:tcBorders>
              <w:left w:val="single" w:sz="12" w:space="0" w:color="000000"/>
              <w:bottom w:val="single" w:sz="12" w:space="0" w:color="000000"/>
              <w:right w:val="single" w:sz="12" w:space="0" w:color="000000"/>
            </w:tcBorders>
          </w:tcPr>
          <w:p>
            <w:pPr>
              <w:pStyle w:val="Contenudetableau"/>
              <w:widowControl w:val="false"/>
              <w:jc w:val="center"/>
              <w:rPr/>
            </w:pPr>
            <w:r>
              <w:rPr>
                <w:shd w:fill="auto" w:val="clear"/>
              </w:rPr>
              <w:t>K</w:t>
            </w:r>
            <w:r>
              <w:rPr/>
              <w:t>elvin</w:t>
            </w:r>
          </w:p>
        </w:tc>
      </w:tr>
      <w:tr>
        <w:trPr>
          <w:trHeight w:val="416" w:hRule="atLeast"/>
        </w:trPr>
        <w:tc>
          <w:tcPr>
            <w:tcW w:w="2606" w:type="dxa"/>
            <w:tcBorders>
              <w:left w:val="single" w:sz="12" w:space="0" w:color="000000"/>
              <w:bottom w:val="single" w:sz="12" w:space="0" w:color="000000"/>
            </w:tcBorders>
          </w:tcPr>
          <w:p>
            <w:pPr>
              <w:pStyle w:val="Normal"/>
              <w:widowControl w:val="false"/>
              <w:jc w:val="center"/>
              <w:rPr/>
            </w:pPr>
            <w:r>
              <w:rPr/>
              <w:t xml:space="preserve">Distance terre-soleil             </w:t>
            </w:r>
          </w:p>
        </w:tc>
        <w:tc>
          <w:tcPr>
            <w:tcW w:w="1809" w:type="dxa"/>
            <w:tcBorders>
              <w:left w:val="single" w:sz="12" w:space="0" w:color="000000"/>
              <w:bottom w:val="single" w:sz="12" w:space="0" w:color="000000"/>
            </w:tcBorders>
          </w:tcPr>
          <w:p>
            <w:pPr>
              <w:pStyle w:val="Contenudetableau"/>
              <w:widowControl w:val="false"/>
              <w:jc w:val="center"/>
              <w:rPr>
                <w:color w:val="000000"/>
              </w:rPr>
            </w:pPr>
            <w:r>
              <w:rPr>
                <w:color w:val="000000"/>
              </w:rPr>
              <w:t>UA= 1.4959 10</w:t>
            </w:r>
            <w:r>
              <w:rPr>
                <w:color w:val="000000"/>
                <w:vertAlign w:val="superscript"/>
              </w:rPr>
              <w:t>11</w:t>
            </w:r>
          </w:p>
        </w:tc>
        <w:tc>
          <w:tcPr>
            <w:tcW w:w="1203" w:type="dxa"/>
            <w:tcBorders>
              <w:left w:val="single" w:sz="12" w:space="0" w:color="000000"/>
              <w:bottom w:val="single" w:sz="12" w:space="0" w:color="000000"/>
              <w:right w:val="single" w:sz="12" w:space="0" w:color="000000"/>
            </w:tcBorders>
          </w:tcPr>
          <w:p>
            <w:pPr>
              <w:pStyle w:val="Contenudetableau"/>
              <w:widowControl w:val="false"/>
              <w:jc w:val="center"/>
              <w:rPr>
                <w:color w:val="000000"/>
              </w:rPr>
            </w:pPr>
            <w:r>
              <w:rPr>
                <w:color w:val="000000"/>
              </w:rPr>
              <w:t>m</w:t>
            </w:r>
          </w:p>
        </w:tc>
      </w:tr>
      <w:tr>
        <w:trPr>
          <w:trHeight w:val="416" w:hRule="atLeast"/>
        </w:trPr>
        <w:tc>
          <w:tcPr>
            <w:tcW w:w="2606" w:type="dxa"/>
            <w:tcBorders>
              <w:left w:val="single" w:sz="12" w:space="0" w:color="000000"/>
              <w:bottom w:val="single" w:sz="12" w:space="0" w:color="000000"/>
            </w:tcBorders>
          </w:tcPr>
          <w:p>
            <w:pPr>
              <w:pStyle w:val="Contenudetableau"/>
              <w:widowControl w:val="false"/>
              <w:jc w:val="center"/>
              <w:rPr/>
            </w:pPr>
            <w:r>
              <w:rPr/>
              <w:t>Albédo terrestre</w:t>
            </w:r>
          </w:p>
        </w:tc>
        <w:tc>
          <w:tcPr>
            <w:tcW w:w="1809" w:type="dxa"/>
            <w:tcBorders>
              <w:left w:val="single" w:sz="12" w:space="0" w:color="000000"/>
              <w:bottom w:val="single" w:sz="12" w:space="0" w:color="000000"/>
            </w:tcBorders>
          </w:tcPr>
          <w:p>
            <w:pPr>
              <w:pStyle w:val="Contenudetableau"/>
              <w:widowControl w:val="false"/>
              <w:jc w:val="center"/>
              <w:rPr/>
            </w:pPr>
            <w:r>
              <w:rPr/>
              <w:t>a = 0,3</w:t>
            </w:r>
          </w:p>
        </w:tc>
        <w:tc>
          <w:tcPr>
            <w:tcW w:w="1203" w:type="dxa"/>
            <w:tcBorders>
              <w:left w:val="single" w:sz="12" w:space="0" w:color="000000"/>
              <w:bottom w:val="single" w:sz="12" w:space="0" w:color="000000"/>
              <w:right w:val="single" w:sz="12" w:space="0" w:color="000000"/>
            </w:tcBorders>
          </w:tcPr>
          <w:p>
            <w:pPr>
              <w:pStyle w:val="Contenudetableau"/>
              <w:widowControl w:val="false"/>
              <w:jc w:val="center"/>
              <w:rPr/>
            </w:pPr>
            <w:r>
              <w:rPr/>
              <w:t>Sans unité</w:t>
            </w:r>
          </w:p>
        </w:tc>
      </w:tr>
      <w:tr>
        <w:trPr>
          <w:trHeight w:val="416" w:hRule="atLeast"/>
        </w:trPr>
        <w:tc>
          <w:tcPr>
            <w:tcW w:w="2606" w:type="dxa"/>
            <w:tcBorders>
              <w:left w:val="single" w:sz="12" w:space="0" w:color="000000"/>
              <w:bottom w:val="single" w:sz="12" w:space="0" w:color="000000"/>
            </w:tcBorders>
          </w:tcPr>
          <w:p>
            <w:pPr>
              <w:pStyle w:val="Contenudetableau"/>
              <w:widowControl w:val="false"/>
              <w:jc w:val="center"/>
              <w:rPr/>
            </w:pPr>
            <w:r>
              <w:rPr/>
              <w:t>Rayon du soleil</w:t>
            </w:r>
          </w:p>
        </w:tc>
        <w:tc>
          <w:tcPr>
            <w:tcW w:w="1809" w:type="dxa"/>
            <w:tcBorders>
              <w:left w:val="single" w:sz="12" w:space="0" w:color="000000"/>
              <w:bottom w:val="single" w:sz="12" w:space="0" w:color="000000"/>
            </w:tcBorders>
          </w:tcPr>
          <w:p>
            <w:pPr>
              <w:pStyle w:val="Contenudetableau"/>
              <w:widowControl w:val="false"/>
              <w:jc w:val="center"/>
              <w:rPr>
                <w:color w:val="000000"/>
              </w:rPr>
            </w:pPr>
            <w:r>
              <w:rPr>
                <w:color w:val="000000"/>
              </w:rPr>
              <w:t>R</w:t>
            </w:r>
            <w:r>
              <w:rPr>
                <w:color w:val="000000"/>
                <w:vertAlign w:val="subscript"/>
              </w:rPr>
              <w:t>S</w:t>
            </w:r>
            <w:r>
              <w:rPr>
                <w:color w:val="000000"/>
              </w:rPr>
              <w:t xml:space="preserve"> = 6.96 10</w:t>
            </w:r>
            <w:r>
              <w:rPr>
                <w:color w:val="000000"/>
                <w:vertAlign w:val="superscript"/>
              </w:rPr>
              <w:t>8</w:t>
            </w:r>
          </w:p>
        </w:tc>
        <w:tc>
          <w:tcPr>
            <w:tcW w:w="1203" w:type="dxa"/>
            <w:tcBorders>
              <w:left w:val="single" w:sz="12" w:space="0" w:color="000000"/>
              <w:bottom w:val="single" w:sz="12" w:space="0" w:color="000000"/>
              <w:right w:val="single" w:sz="12" w:space="0" w:color="000000"/>
            </w:tcBorders>
          </w:tcPr>
          <w:p>
            <w:pPr>
              <w:pStyle w:val="Contenudetableau"/>
              <w:widowControl w:val="false"/>
              <w:jc w:val="center"/>
              <w:rPr>
                <w:color w:val="000000"/>
              </w:rPr>
            </w:pPr>
            <w:r>
              <w:rPr>
                <w:color w:val="000000"/>
              </w:rPr>
              <w:t>m</w:t>
            </w:r>
          </w:p>
        </w:tc>
      </w:tr>
      <w:tr>
        <w:trPr>
          <w:trHeight w:val="416" w:hRule="atLeast"/>
        </w:trPr>
        <w:tc>
          <w:tcPr>
            <w:tcW w:w="2606" w:type="dxa"/>
            <w:tcBorders>
              <w:left w:val="single" w:sz="12" w:space="0" w:color="000000"/>
              <w:bottom w:val="single" w:sz="12" w:space="0" w:color="000000"/>
            </w:tcBorders>
          </w:tcPr>
          <w:p>
            <w:pPr>
              <w:pStyle w:val="Contenudetableau"/>
              <w:widowControl w:val="false"/>
              <w:jc w:val="center"/>
              <w:rPr/>
            </w:pPr>
            <w:r>
              <w:rPr/>
              <w:t>Rayon terrestre</w:t>
            </w:r>
          </w:p>
        </w:tc>
        <w:tc>
          <w:tcPr>
            <w:tcW w:w="1809" w:type="dxa"/>
            <w:tcBorders>
              <w:left w:val="single" w:sz="12" w:space="0" w:color="000000"/>
              <w:bottom w:val="single" w:sz="12" w:space="0" w:color="000000"/>
            </w:tcBorders>
          </w:tcPr>
          <w:p>
            <w:pPr>
              <w:pStyle w:val="Contenudetableau"/>
              <w:widowControl w:val="false"/>
              <w:jc w:val="center"/>
              <w:rPr>
                <w:color w:val="000000"/>
              </w:rPr>
            </w:pPr>
            <w:r>
              <w:rPr>
                <w:color w:val="000000"/>
              </w:rPr>
              <w:t>R</w:t>
            </w:r>
            <w:r>
              <w:rPr>
                <w:color w:val="000000"/>
                <w:vertAlign w:val="subscript"/>
              </w:rPr>
              <w:t>T</w:t>
            </w:r>
            <w:r>
              <w:rPr>
                <w:color w:val="000000"/>
              </w:rPr>
              <w:t xml:space="preserve"> = 6.378 10</w:t>
            </w:r>
            <w:r>
              <w:rPr>
                <w:color w:val="000000"/>
                <w:vertAlign w:val="superscript"/>
              </w:rPr>
              <w:t>6</w:t>
            </w:r>
          </w:p>
        </w:tc>
        <w:tc>
          <w:tcPr>
            <w:tcW w:w="1203" w:type="dxa"/>
            <w:tcBorders>
              <w:left w:val="single" w:sz="12" w:space="0" w:color="000000"/>
              <w:bottom w:val="single" w:sz="12" w:space="0" w:color="000000"/>
              <w:right w:val="single" w:sz="12" w:space="0" w:color="000000"/>
            </w:tcBorders>
          </w:tcPr>
          <w:p>
            <w:pPr>
              <w:pStyle w:val="Contenudetableau"/>
              <w:widowControl w:val="false"/>
              <w:jc w:val="center"/>
              <w:rPr>
                <w:color w:val="000000"/>
              </w:rPr>
            </w:pPr>
            <w:r>
              <w:rPr>
                <w:color w:val="000000"/>
              </w:rPr>
              <w:t>m</w:t>
            </w:r>
          </w:p>
        </w:tc>
      </w:tr>
    </w:tbl>
    <w:p>
      <w:pPr>
        <w:pStyle w:val="Normal"/>
        <w:jc w:val="center"/>
        <w:rPr>
          <w:b/>
          <w:b/>
          <w:bCs/>
        </w:rPr>
      </w:pPr>
      <w:r>
        <w:rPr>
          <w:b/>
          <w:bCs/>
        </w:rPr>
      </w:r>
    </w:p>
    <w:p>
      <w:pPr>
        <w:pStyle w:val="Normal"/>
        <w:rPr/>
      </w:pPr>
      <w:r>
        <w:rPr/>
        <w:tab/>
        <w:tab/>
        <w:tab/>
        <w:tab/>
      </w:r>
      <w:r>
        <w:rPr>
          <w:b/>
          <w:bCs/>
        </w:rPr>
        <w:tab/>
      </w:r>
      <w:r>
        <w:rPr/>
        <w:t>(Tableau 1-1)</w:t>
      </w:r>
      <w:r>
        <w:rPr>
          <w:b/>
          <w:bCs/>
        </w:rPr>
        <w:t xml:space="preserve">   </w:t>
      </w:r>
    </w:p>
    <w:p>
      <w:pPr>
        <w:pStyle w:val="Normal"/>
        <w:rPr/>
      </w:pPr>
      <w:r>
        <w:rPr/>
      </w:r>
    </w:p>
    <w:p>
      <w:pPr>
        <w:pStyle w:val="Normal"/>
        <w:rPr>
          <w:color w:val="C00000"/>
        </w:rPr>
      </w:pPr>
      <w:r>
        <w:rPr>
          <w:color w:val="C00000"/>
        </w:rPr>
      </w:r>
    </w:p>
    <w:p>
      <w:pPr>
        <w:pStyle w:val="Normal"/>
        <w:rPr/>
      </w:pPr>
      <w:r>
        <w:rPr/>
      </w:r>
    </w:p>
    <w:p>
      <w:pPr>
        <w:pStyle w:val="Normal"/>
        <w:rPr/>
      </w:pPr>
      <w:r>
        <w:rPr/>
        <w:t xml:space="preserve">                                                                   </w:t>
      </w:r>
      <w:r>
        <w:rPr>
          <w:sz w:val="28"/>
          <w:szCs w:val="28"/>
        </w:rPr>
        <w:t xml:space="preserve">         </w:t>
      </w:r>
    </w:p>
    <w:p>
      <w:pPr>
        <w:pStyle w:val="Normal"/>
        <w:rPr>
          <w:sz w:val="28"/>
          <w:szCs w:val="28"/>
          <w:vertAlign w:val="subscript"/>
        </w:rPr>
      </w:pPr>
      <w:r>
        <mc:AlternateContent>
          <mc:Choice Requires="wps">
            <w:drawing>
              <wp:anchor behindDoc="0" distT="0" distB="0" distL="0" distR="0" simplePos="0" locked="0" layoutInCell="0" allowOverlap="1" relativeHeight="14" wp14:anchorId="3C7A56C8">
                <wp:simplePos x="0" y="0"/>
                <wp:positionH relativeFrom="column">
                  <wp:posOffset>3812540</wp:posOffset>
                </wp:positionH>
                <wp:positionV relativeFrom="paragraph">
                  <wp:posOffset>97155</wp:posOffset>
                </wp:positionV>
                <wp:extent cx="609600" cy="247650"/>
                <wp:effectExtent l="0" t="0" r="0" b="0"/>
                <wp:wrapNone/>
                <wp:docPr id="3" name="Forme6"/>
                <a:graphic xmlns:a="http://schemas.openxmlformats.org/drawingml/2006/main">
                  <a:graphicData uri="http://schemas.microsoft.com/office/word/2010/wordprocessingShape">
                    <wps:wsp>
                      <wps:cNvSpPr/>
                      <wps:spPr>
                        <a:xfrm>
                          <a:off x="0" y="0"/>
                          <a:ext cx="609480" cy="247680"/>
                        </a:xfrm>
                        <a:prstGeom prst="rect">
                          <a:avLst/>
                        </a:prstGeom>
                        <a:noFill/>
                        <a:ln w="0">
                          <a:noFill/>
                        </a:ln>
                      </wps:spPr>
                      <wps:style>
                        <a:lnRef idx="0"/>
                        <a:fillRef idx="0"/>
                        <a:effectRef idx="0"/>
                        <a:fontRef idx="minor"/>
                      </wps:style>
                      <wps:txbx>
                        <w:txbxContent>
                          <w:p>
                            <w:pPr>
                              <w:pStyle w:val="Contenudecadre"/>
                              <w:rPr/>
                            </w:pPr>
                            <w:r>
                              <w:rPr>
                                <w:rFonts w:ascii="Times New Roman" w:hAnsi="Times New Roman"/>
                                <w:color w:val="000000"/>
                                <w:sz w:val="22"/>
                                <w:szCs w:val="22"/>
                              </w:rPr>
                              <w:t>Terre</w:t>
                            </w:r>
                          </w:p>
                        </w:txbxContent>
                      </wps:txbx>
                      <wps:bodyPr lIns="0" rIns="0" tIns="0" bIns="0" anchor="t">
                        <a:noAutofit/>
                      </wps:bodyPr>
                    </wps:wsp>
                  </a:graphicData>
                </a:graphic>
              </wp:anchor>
            </w:drawing>
          </mc:Choice>
          <mc:Fallback>
            <w:pict>
              <v:rect id="shape_0" ID="Forme6" path="m0,0l-2147483645,0l-2147483645,-2147483646l0,-2147483646xe" stroked="f" o:allowincell="f" style="position:absolute;margin-left:300.2pt;margin-top:7.65pt;width:47.95pt;height:19.45pt;mso-wrap-style:square;v-text-anchor:top" wp14:anchorId="3C7A56C8">
                <v:fill o:detectmouseclick="t" on="false"/>
                <v:stroke color="#3465a4" joinstyle="round" endcap="flat"/>
                <v:textbox>
                  <w:txbxContent>
                    <w:p>
                      <w:pPr>
                        <w:pStyle w:val="Contenudecadre"/>
                        <w:rPr/>
                      </w:pPr>
                      <w:r>
                        <w:rPr>
                          <w:rFonts w:ascii="Times New Roman" w:hAnsi="Times New Roman"/>
                          <w:color w:val="000000"/>
                          <w:sz w:val="22"/>
                          <w:szCs w:val="22"/>
                        </w:rPr>
                        <w:t>Terre</w:t>
                      </w:r>
                    </w:p>
                  </w:txbxContent>
                </v:textbox>
                <w10:wrap type="none"/>
              </v:rect>
            </w:pict>
          </mc:Fallback>
        </mc:AlternateContent>
        <mc:AlternateContent>
          <mc:Choice Requires="wps">
            <w:drawing>
              <wp:anchor behindDoc="0" distT="1270" distB="635" distL="1270" distR="635" simplePos="0" locked="0" layoutInCell="0" allowOverlap="1" relativeHeight="24" wp14:anchorId="0147F359">
                <wp:simplePos x="0" y="0"/>
                <wp:positionH relativeFrom="column">
                  <wp:posOffset>1760855</wp:posOffset>
                </wp:positionH>
                <wp:positionV relativeFrom="paragraph">
                  <wp:posOffset>55880</wp:posOffset>
                </wp:positionV>
                <wp:extent cx="2326005" cy="2372995"/>
                <wp:effectExtent l="1270" t="1270" r="635" b="635"/>
                <wp:wrapNone/>
                <wp:docPr id="5" name="Forme 2"/>
                <a:graphic xmlns:a="http://schemas.openxmlformats.org/drawingml/2006/main">
                  <a:graphicData uri="http://schemas.microsoft.com/office/word/2010/wordprocessingShape">
                    <wps:wsp>
                      <wps:cNvSpPr/>
                      <wps:spPr>
                        <a:xfrm>
                          <a:off x="0" y="0"/>
                          <a:ext cx="2325960" cy="2373120"/>
                        </a:xfrm>
                        <a:prstGeom prst="ellipse">
                          <a:avLst/>
                        </a:prstGeom>
                        <a:solidFill>
                          <a:srgbClr val="ffffff">
                            <a:alpha val="50000"/>
                          </a:srgbClr>
                        </a:solidFill>
                        <a:ln w="0">
                          <a:solidFill>
                            <a:srgbClr val="3465a4"/>
                          </a:solidFill>
                        </a:ln>
                      </wps:spPr>
                      <wps:style>
                        <a:lnRef idx="0"/>
                        <a:fillRef idx="0"/>
                        <a:effectRef idx="0"/>
                        <a:fontRef idx="minor"/>
                      </wps:style>
                      <wps:bodyPr/>
                    </wps:wsp>
                  </a:graphicData>
                </a:graphic>
              </wp:anchor>
            </w:drawing>
          </mc:Choice>
          <mc:Fallback>
            <w:pict>
              <v:oval id="shape_0" ID="Forme 2" path="l-2147483648,-2147483643l-2147483628,-2147483627l-2147483648,-2147483643l-2147483626,-2147483625xe" fillcolor="white" stroked="t" o:allowincell="f" style="position:absolute;margin-left:138.65pt;margin-top:4.4pt;width:183.1pt;height:186.8pt;mso-wrap-style:none;v-text-anchor:middle" wp14:anchorId="0147F359">
                <v:fill o:detectmouseclick="t" type="solid" color2="black" opacity="0.5"/>
                <v:stroke color="#3465a4" joinstyle="round" endcap="flat"/>
                <w10:wrap type="none"/>
              </v:oval>
            </w:pict>
          </mc:Fallback>
        </mc:AlternateContent>
      </w:r>
      <w:r>
        <w:rPr>
          <w:sz w:val="28"/>
          <w:szCs w:val="28"/>
          <w:vertAlign w:val="subscript"/>
        </w:rPr>
        <w:t xml:space="preserve">                                                                                                                                                         </w:t>
      </w:r>
      <w:r>
        <w:rPr>
          <w:sz w:val="28"/>
          <w:szCs w:val="28"/>
        </w:rPr>
        <w:t xml:space="preserve"> </w:t>
      </w:r>
    </w:p>
    <w:p>
      <w:pPr>
        <w:pStyle w:val="Normal"/>
        <w:rPr>
          <w:sz w:val="28"/>
          <w:szCs w:val="28"/>
          <w:vertAlign w:val="subscript"/>
        </w:rPr>
      </w:pPr>
      <w:r>
        <w:rPr>
          <w:sz w:val="28"/>
          <w:szCs w:val="28"/>
          <w:vertAlign w:val="subscript"/>
        </w:rPr>
        <w:t xml:space="preserve">                                                                                                                                                     </w:t>
      </w:r>
      <w:r>
        <w:rPr>
          <w:sz w:val="28"/>
          <w:szCs w:val="28"/>
        </w:rPr>
        <w:t xml:space="preserve">        </w:t>
      </w:r>
      <w:r>
        <w:rPr>
          <w:sz w:val="22"/>
          <w:szCs w:val="22"/>
        </w:rPr>
        <w:t xml:space="preserve"> </w:t>
      </w:r>
    </w:p>
    <w:p>
      <w:pPr>
        <w:pStyle w:val="Normal"/>
        <w:rPr>
          <w:sz w:val="28"/>
          <w:szCs w:val="28"/>
        </w:rPr>
      </w:pPr>
      <w:r>
        <mc:AlternateContent>
          <mc:Choice Requires="wps">
            <w:drawing>
              <wp:anchor behindDoc="0" distT="1270" distB="635" distL="1270" distR="635" simplePos="0" locked="0" layoutInCell="0" allowOverlap="1" relativeHeight="7" wp14:anchorId="4985CAEA">
                <wp:simplePos x="0" y="0"/>
                <wp:positionH relativeFrom="column">
                  <wp:posOffset>3698240</wp:posOffset>
                </wp:positionH>
                <wp:positionV relativeFrom="paragraph">
                  <wp:posOffset>11430</wp:posOffset>
                </wp:positionV>
                <wp:extent cx="85725" cy="85725"/>
                <wp:effectExtent l="1270" t="1270" r="635" b="635"/>
                <wp:wrapNone/>
                <wp:docPr id="6" name="Forme3"/>
                <a:graphic xmlns:a="http://schemas.openxmlformats.org/drawingml/2006/main">
                  <a:graphicData uri="http://schemas.microsoft.com/office/word/2010/wordprocessingShape">
                    <wps:wsp>
                      <wps:cNvSpPr/>
                      <wps:spPr>
                        <a:xfrm>
                          <a:off x="0" y="0"/>
                          <a:ext cx="85680" cy="85680"/>
                        </a:xfrm>
                        <a:prstGeom prst="ellipse">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oval id="shape_0" ID="Forme3" path="l-2147483648,-2147483643l-2147483628,-2147483627l-2147483648,-2147483643l-2147483626,-2147483625xe" fillcolor="#729fcf" stroked="t" o:allowincell="f" style="position:absolute;margin-left:291.2pt;margin-top:0.9pt;width:6.7pt;height:6.7pt;mso-wrap-style:none;v-text-anchor:middle" wp14:anchorId="4985CAEA">
                <v:fill o:detectmouseclick="t" type="solid" color2="#8d6030"/>
                <v:stroke color="#3465a4" joinstyle="round" endcap="flat"/>
                <w10:wrap type="none"/>
              </v:oval>
            </w:pict>
          </mc:Fallback>
        </mc:AlternateContent>
        <mc:AlternateContent>
          <mc:Choice Requires="wps">
            <w:drawing>
              <wp:anchor behindDoc="0" distT="635" distB="0" distL="635" distR="0" simplePos="0" locked="0" layoutInCell="0" allowOverlap="1" relativeHeight="8" wp14:anchorId="514D922C">
                <wp:simplePos x="0" y="0"/>
                <wp:positionH relativeFrom="column">
                  <wp:posOffset>4015740</wp:posOffset>
                </wp:positionH>
                <wp:positionV relativeFrom="paragraph">
                  <wp:posOffset>21590</wp:posOffset>
                </wp:positionV>
                <wp:extent cx="1628775" cy="294005"/>
                <wp:effectExtent l="635" t="635" r="0" b="0"/>
                <wp:wrapNone/>
                <wp:docPr id="7" name="Forme9"/>
                <a:graphic xmlns:a="http://schemas.openxmlformats.org/drawingml/2006/main">
                  <a:graphicData uri="http://schemas.microsoft.com/office/word/2010/wordprocessingShape">
                    <wps:wsp>
                      <wps:cNvSpPr/>
                      <wps:spPr>
                        <a:xfrm>
                          <a:off x="0" y="0"/>
                          <a:ext cx="1628640" cy="294120"/>
                        </a:xfrm>
                        <a:prstGeom prst="rect">
                          <a:avLst/>
                        </a:prstGeom>
                        <a:noFill/>
                        <a:ln w="0">
                          <a:noFill/>
                        </a:ln>
                      </wps:spPr>
                      <wps:style>
                        <a:lnRef idx="0"/>
                        <a:fillRef idx="0"/>
                        <a:effectRef idx="0"/>
                        <a:fontRef idx="minor"/>
                      </wps:style>
                      <wps:txbx>
                        <w:txbxContent>
                          <w:p>
                            <w:pPr>
                              <w:pStyle w:val="Contenudecadre"/>
                              <w:rPr/>
                            </w:pPr>
                            <w:r>
                              <w:rPr>
                                <w:color w:val="000000"/>
                              </w:rPr>
                              <w:t>2R</w:t>
                            </w:r>
                            <w:r>
                              <w:rPr>
                                <w:color w:val="000000"/>
                                <w:position w:val="-8"/>
                                <w:sz w:val="14"/>
                              </w:rPr>
                              <w:t>T</w:t>
                            </w:r>
                            <w:r>
                              <w:rPr>
                                <w:color w:val="000000"/>
                              </w:rPr>
                              <w:t>, diamètre de la terre</w:t>
                            </w:r>
                          </w:p>
                        </w:txbxContent>
                      </wps:txbx>
                      <wps:bodyPr lIns="0" rIns="0" tIns="0" bIns="0" anchor="t">
                        <a:noAutofit/>
                      </wps:bodyPr>
                    </wps:wsp>
                  </a:graphicData>
                </a:graphic>
              </wp:anchor>
            </w:drawing>
          </mc:Choice>
          <mc:Fallback>
            <w:pict>
              <v:rect id="shape_0" ID="Forme9" path="m0,0l-2147483645,0l-2147483645,-2147483646l0,-2147483646xe" stroked="f" o:allowincell="f" style="position:absolute;margin-left:316.2pt;margin-top:1.7pt;width:128.2pt;height:23.1pt;mso-wrap-style:square;v-text-anchor:top" wp14:anchorId="514D922C">
                <v:fill o:detectmouseclick="t" on="false"/>
                <v:stroke color="#3465a4" joinstyle="round" endcap="flat"/>
                <v:textbox>
                  <w:txbxContent>
                    <w:p>
                      <w:pPr>
                        <w:pStyle w:val="Contenudecadre"/>
                        <w:rPr/>
                      </w:pPr>
                      <w:r>
                        <w:rPr>
                          <w:color w:val="000000"/>
                        </w:rPr>
                        <w:t>2R</w:t>
                      </w:r>
                      <w:r>
                        <w:rPr>
                          <w:color w:val="000000"/>
                          <w:position w:val="-8"/>
                          <w:sz w:val="14"/>
                        </w:rPr>
                        <w:t>T</w:t>
                      </w:r>
                      <w:r>
                        <w:rPr>
                          <w:color w:val="000000"/>
                        </w:rPr>
                        <w:t>, diamètre de la terre</w:t>
                      </w:r>
                    </w:p>
                  </w:txbxContent>
                </v:textbox>
                <w10:wrap type="none"/>
              </v:rect>
            </w:pict>
          </mc:Fallback>
        </mc:AlternateContent>
        <mc:AlternateContent>
          <mc:Choice Requires="wps">
            <w:drawing>
              <wp:anchor behindDoc="0" distT="635" distB="635" distL="635" distR="635" simplePos="0" locked="0" layoutInCell="0" allowOverlap="1" relativeHeight="12" wp14:anchorId="5D779687">
                <wp:simplePos x="0" y="0"/>
                <wp:positionH relativeFrom="column">
                  <wp:posOffset>3031490</wp:posOffset>
                </wp:positionH>
                <wp:positionV relativeFrom="paragraph">
                  <wp:posOffset>97155</wp:posOffset>
                </wp:positionV>
                <wp:extent cx="752475" cy="824865"/>
                <wp:effectExtent l="635" t="635" r="635" b="635"/>
                <wp:wrapNone/>
                <wp:docPr id="9" name="Forme4"/>
                <a:graphic xmlns:a="http://schemas.openxmlformats.org/drawingml/2006/main">
                  <a:graphicData uri="http://schemas.microsoft.com/office/word/2010/wordprocessingShape">
                    <wps:wsp>
                      <wps:cNvSpPr/>
                      <wps:spPr>
                        <a:xfrm flipV="1">
                          <a:off x="0" y="0"/>
                          <a:ext cx="752400" cy="82476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38.7pt,7.65pt" to="297.9pt,72.55pt" ID="Forme4" stroked="t" o:allowincell="f" style="position:absolute;flip:y" wp14:anchorId="5D779687">
                <v:stroke color="#3465a4" joinstyle="round" endcap="flat"/>
                <v:fill o:detectmouseclick="t" on="false"/>
                <w10:wrap type="none"/>
              </v:line>
            </w:pict>
          </mc:Fallback>
        </mc:AlternateContent>
        <mc:AlternateContent>
          <mc:Choice Requires="wps">
            <w:drawing>
              <wp:anchor behindDoc="0" distT="635" distB="635" distL="635" distR="635" simplePos="0" locked="0" layoutInCell="0" allowOverlap="1" relativeHeight="13" wp14:anchorId="79BBCC82">
                <wp:simplePos x="0" y="0"/>
                <wp:positionH relativeFrom="column">
                  <wp:posOffset>3031490</wp:posOffset>
                </wp:positionH>
                <wp:positionV relativeFrom="paragraph">
                  <wp:posOffset>11430</wp:posOffset>
                </wp:positionV>
                <wp:extent cx="666750" cy="910590"/>
                <wp:effectExtent l="635" t="635" r="635" b="635"/>
                <wp:wrapNone/>
                <wp:docPr id="10" name="Forme5"/>
                <a:graphic xmlns:a="http://schemas.openxmlformats.org/drawingml/2006/main">
                  <a:graphicData uri="http://schemas.microsoft.com/office/word/2010/wordprocessingShape">
                    <wps:wsp>
                      <wps:cNvSpPr/>
                      <wps:spPr>
                        <a:xfrm flipH="1">
                          <a:off x="0" y="0"/>
                          <a:ext cx="666720" cy="91044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238.7pt,0.9pt" to="291.15pt,72.55pt" ID="Forme5" stroked="t" o:allowincell="f" style="position:absolute;flip:x" wp14:anchorId="79BBCC82">
                <v:stroke color="#3465a4" joinstyle="round" endcap="flat"/>
                <v:fill o:detectmouseclick="t" on="false"/>
                <w10:wrap type="none"/>
              </v:line>
            </w:pict>
          </mc:Fallback>
        </mc:AlternateContent>
      </w:r>
      <w:r>
        <w:rPr>
          <w:sz w:val="28"/>
          <w:szCs w:val="28"/>
        </w:rPr>
        <w:t xml:space="preserve">                                                                                                              </w:t>
      </w:r>
    </w:p>
    <w:p>
      <w:pPr>
        <w:pStyle w:val="Normal"/>
        <w:rPr>
          <w:sz w:val="28"/>
          <w:szCs w:val="28"/>
        </w:rPr>
      </w:pPr>
      <w:r>
        <w:rPr>
          <w:sz w:val="28"/>
          <w:szCs w:val="28"/>
        </w:rPr>
      </w:r>
    </w:p>
    <w:p>
      <w:pPr>
        <w:pStyle w:val="Normal"/>
        <w:rPr>
          <w:sz w:val="28"/>
          <w:szCs w:val="28"/>
        </w:rPr>
      </w:pPr>
      <w:r>
        <w:rPr>
          <w:sz w:val="28"/>
          <w:szCs w:val="28"/>
        </w:rPr>
        <mc:AlternateContent>
          <mc:Choice Requires="wps">
            <w:drawing>
              <wp:anchor behindDoc="0" distT="0" distB="0" distL="635" distR="0" simplePos="0" locked="0" layoutInCell="0" allowOverlap="1" relativeHeight="10" wp14:anchorId="32BA510F">
                <wp:simplePos x="0" y="0"/>
                <wp:positionH relativeFrom="column">
                  <wp:posOffset>3460115</wp:posOffset>
                </wp:positionH>
                <wp:positionV relativeFrom="paragraph">
                  <wp:posOffset>123825</wp:posOffset>
                </wp:positionV>
                <wp:extent cx="238125" cy="247650"/>
                <wp:effectExtent l="635" t="0" r="0" b="0"/>
                <wp:wrapNone/>
                <wp:docPr id="11" name="Forme7"/>
                <a:graphic xmlns:a="http://schemas.openxmlformats.org/drawingml/2006/main">
                  <a:graphicData uri="http://schemas.microsoft.com/office/word/2010/wordprocessingShape">
                    <wps:wsp>
                      <wps:cNvSpPr/>
                      <wps:spPr>
                        <a:xfrm>
                          <a:off x="0" y="0"/>
                          <a:ext cx="237960" cy="247680"/>
                        </a:xfrm>
                        <a:prstGeom prst="rect">
                          <a:avLst/>
                        </a:prstGeom>
                        <a:noFill/>
                        <a:ln w="0">
                          <a:noFill/>
                        </a:ln>
                      </wps:spPr>
                      <wps:style>
                        <a:lnRef idx="0"/>
                        <a:fillRef idx="0"/>
                        <a:effectRef idx="0"/>
                        <a:fontRef idx="minor"/>
                      </wps:style>
                      <wps:txbx>
                        <w:txbxContent>
                          <w:p>
                            <w:pPr>
                              <w:pStyle w:val="Contenudecadre"/>
                              <w:rPr/>
                            </w:pPr>
                            <w:r>
                              <w:rPr>
                                <w:color w:val="000000"/>
                              </w:rPr>
                              <w:t>TS</w:t>
                            </w:r>
                          </w:p>
                        </w:txbxContent>
                      </wps:txbx>
                      <wps:bodyPr lIns="0" rIns="0" tIns="0" bIns="0" anchor="t">
                        <a:noAutofit/>
                      </wps:bodyPr>
                    </wps:wsp>
                  </a:graphicData>
                </a:graphic>
              </wp:anchor>
            </w:drawing>
          </mc:Choice>
          <mc:Fallback>
            <w:pict>
              <v:rect id="shape_0" ID="Forme7" path="m0,0l-2147483645,0l-2147483645,-2147483646l0,-2147483646xe" stroked="f" o:allowincell="f" style="position:absolute;margin-left:272.45pt;margin-top:9.75pt;width:18.7pt;height:19.45pt;mso-wrap-style:square;v-text-anchor:top" wp14:anchorId="32BA510F">
                <v:fill o:detectmouseclick="t" on="false"/>
                <v:stroke color="#3465a4" joinstyle="round" endcap="flat"/>
                <v:textbox>
                  <w:txbxContent>
                    <w:p>
                      <w:pPr>
                        <w:pStyle w:val="Contenudecadre"/>
                        <w:rPr/>
                      </w:pPr>
                      <w:r>
                        <w:rPr>
                          <w:color w:val="000000"/>
                        </w:rPr>
                        <w:t>TS</w:t>
                      </w:r>
                    </w:p>
                  </w:txbxContent>
                </v:textbox>
                <w10:wrap type="none"/>
              </v:rect>
            </w:pict>
          </mc:Fallback>
        </mc:AlternateContent>
      </w:r>
    </w:p>
    <w:p>
      <w:pPr>
        <w:pStyle w:val="Normal"/>
        <w:rPr>
          <w:sz w:val="28"/>
          <w:szCs w:val="28"/>
        </w:rPr>
      </w:pPr>
      <w:r>
        <w:rPr>
          <w:sz w:val="28"/>
          <w:szCs w:val="28"/>
        </w:rPr>
      </w:r>
    </w:p>
    <w:p>
      <w:pPr>
        <w:pStyle w:val="Normal"/>
        <w:rPr>
          <w:sz w:val="28"/>
          <w:szCs w:val="28"/>
        </w:rPr>
      </w:pPr>
      <w:r>
        <w:rPr>
          <w:sz w:val="28"/>
          <w:szCs w:val="28"/>
        </w:rPr>
        <mc:AlternateContent>
          <mc:Choice Requires="wps">
            <w:drawing>
              <wp:anchor behindDoc="0" distT="1270" distB="1270" distL="635" distR="1270" simplePos="0" locked="0" layoutInCell="0" allowOverlap="1" relativeHeight="6" wp14:anchorId="7C91CB5F">
                <wp:simplePos x="0" y="0"/>
                <wp:positionH relativeFrom="column">
                  <wp:posOffset>2831465</wp:posOffset>
                </wp:positionH>
                <wp:positionV relativeFrom="paragraph">
                  <wp:posOffset>40640</wp:posOffset>
                </wp:positionV>
                <wp:extent cx="285750" cy="285750"/>
                <wp:effectExtent l="635" t="1270" r="1270" b="1270"/>
                <wp:wrapNone/>
                <wp:docPr id="13" name="Forme1"/>
                <a:graphic xmlns:a="http://schemas.openxmlformats.org/drawingml/2006/main">
                  <a:graphicData uri="http://schemas.microsoft.com/office/word/2010/wordprocessingShape">
                    <wps:wsp>
                      <wps:cNvSpPr/>
                      <wps:spPr>
                        <a:xfrm>
                          <a:off x="0" y="0"/>
                          <a:ext cx="285840" cy="285840"/>
                        </a:xfrm>
                        <a:prstGeom prst="ellipse">
                          <a:avLst/>
                        </a:prstGeom>
                        <a:solidFill>
                          <a:srgbClr val="729fcf"/>
                        </a:solidFill>
                        <a:ln w="0">
                          <a:solidFill>
                            <a:srgbClr val="3465a4"/>
                          </a:solidFill>
                        </a:ln>
                      </wps:spPr>
                      <wps:style>
                        <a:lnRef idx="0"/>
                        <a:fillRef idx="0"/>
                        <a:effectRef idx="0"/>
                        <a:fontRef idx="minor"/>
                      </wps:style>
                      <wps:bodyPr/>
                    </wps:wsp>
                  </a:graphicData>
                </a:graphic>
              </wp:anchor>
            </w:drawing>
          </mc:Choice>
          <mc:Fallback>
            <w:pict>
              <v:oval id="shape_0" ID="Forme1" path="l-2147483648,-2147483643l-2147483628,-2147483627l-2147483648,-2147483643l-2147483626,-2147483625xe" fillcolor="#729fcf" stroked="t" o:allowincell="f" style="position:absolute;margin-left:222.95pt;margin-top:3.2pt;width:22.45pt;height:22.45pt;mso-wrap-style:none;v-text-anchor:middle" wp14:anchorId="7C91CB5F">
                <v:fill o:detectmouseclick="t" type="solid" color2="#8d6030"/>
                <v:stroke color="#3465a4" joinstyle="round" endcap="flat"/>
                <w10:wrap type="none"/>
              </v:oval>
            </w:pict>
          </mc:Fallback>
        </mc:AlternateContent>
      </w:r>
    </w:p>
    <w:p>
      <w:pPr>
        <w:pStyle w:val="Normal"/>
        <w:rPr>
          <w:sz w:val="28"/>
          <w:szCs w:val="28"/>
        </w:rPr>
      </w:pPr>
      <w:r>
        <w:rPr>
          <w:sz w:val="28"/>
          <w:szCs w:val="28"/>
        </w:rPr>
        <mc:AlternateContent>
          <mc:Choice Requires="wps">
            <w:drawing>
              <wp:anchor behindDoc="0" distT="0" distB="0" distL="0" distR="0" simplePos="0" locked="0" layoutInCell="0" allowOverlap="1" relativeHeight="2" wp14:anchorId="66ED3A66">
                <wp:simplePos x="0" y="0"/>
                <wp:positionH relativeFrom="column">
                  <wp:posOffset>2669540</wp:posOffset>
                </wp:positionH>
                <wp:positionV relativeFrom="paragraph">
                  <wp:posOffset>121920</wp:posOffset>
                </wp:positionV>
                <wp:extent cx="723900" cy="323850"/>
                <wp:effectExtent l="0" t="0" r="0" b="0"/>
                <wp:wrapNone/>
                <wp:docPr id="14" name="Forme8"/>
                <a:graphic xmlns:a="http://schemas.openxmlformats.org/drawingml/2006/main">
                  <a:graphicData uri="http://schemas.microsoft.com/office/word/2010/wordprocessingShape">
                    <wps:wsp>
                      <wps:cNvSpPr/>
                      <wps:spPr>
                        <a:xfrm>
                          <a:off x="0" y="0"/>
                          <a:ext cx="723960" cy="324000"/>
                        </a:xfrm>
                        <a:prstGeom prst="rect">
                          <a:avLst/>
                        </a:prstGeom>
                        <a:noFill/>
                        <a:ln w="0">
                          <a:noFill/>
                        </a:ln>
                      </wps:spPr>
                      <wps:style>
                        <a:lnRef idx="0"/>
                        <a:fillRef idx="0"/>
                        <a:effectRef idx="0"/>
                        <a:fontRef idx="minor"/>
                      </wps:style>
                      <wps:txbx>
                        <w:txbxContent>
                          <w:p>
                            <w:pPr>
                              <w:pStyle w:val="Contenudecadre"/>
                              <w:rPr/>
                            </w:pPr>
                            <w:r>
                              <w:rPr>
                                <w:color w:val="000000"/>
                              </w:rPr>
                              <w:t>Soleil</w:t>
                            </w:r>
                          </w:p>
                        </w:txbxContent>
                      </wps:txbx>
                      <wps:bodyPr lIns="0" rIns="0" tIns="0" bIns="0" anchor="t">
                        <a:noAutofit/>
                      </wps:bodyPr>
                    </wps:wsp>
                  </a:graphicData>
                </a:graphic>
              </wp:anchor>
            </w:drawing>
          </mc:Choice>
          <mc:Fallback>
            <w:pict>
              <v:rect id="shape_0" ID="Forme8" path="m0,0l-2147483645,0l-2147483645,-2147483646l0,-2147483646xe" stroked="f" o:allowincell="f" style="position:absolute;margin-left:210.2pt;margin-top:9.6pt;width:56.95pt;height:25.45pt;mso-wrap-style:square;v-text-anchor:top" wp14:anchorId="66ED3A66">
                <v:fill o:detectmouseclick="t" on="false"/>
                <v:stroke color="#3465a4" joinstyle="round" endcap="flat"/>
                <v:textbox>
                  <w:txbxContent>
                    <w:p>
                      <w:pPr>
                        <w:pStyle w:val="Contenudecadre"/>
                        <w:rPr/>
                      </w:pPr>
                      <w:r>
                        <w:rPr>
                          <w:color w:val="000000"/>
                        </w:rPr>
                        <w:t>Soleil</w:t>
                      </w:r>
                    </w:p>
                  </w:txbxContent>
                </v:textbox>
                <w10:wrap type="none"/>
              </v:rect>
            </w:pict>
          </mc:Fallback>
        </mc:AlternateContent>
      </w:r>
    </w:p>
    <w:p>
      <w:pPr>
        <w:pStyle w:val="Normal"/>
        <w:rPr>
          <w:sz w:val="28"/>
          <w:szCs w:val="28"/>
        </w:rPr>
      </w:pPr>
      <w:r>
        <w:rPr>
          <w:sz w:val="28"/>
          <w:szCs w:val="28"/>
        </w:rPr>
        <w:t xml:space="preserve">                                                                                                </w:t>
      </w:r>
    </w:p>
    <w:p>
      <w:pPr>
        <w:pStyle w:val="Normal"/>
        <w:rPr>
          <w:sz w:val="28"/>
          <w:szCs w:val="28"/>
        </w:rPr>
      </w:pPr>
      <w:r>
        <w:rPr>
          <w:sz w:val="28"/>
          <w:szCs w:val="28"/>
        </w:rPr>
        <w:t xml:space="preserve">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 xml:space="preserve">                                                           </w:t>
      </w:r>
    </w:p>
    <w:p>
      <w:pPr>
        <w:pStyle w:val="Normal"/>
        <w:rPr>
          <w:sz w:val="28"/>
          <w:szCs w:val="28"/>
        </w:rPr>
      </w:pPr>
      <w:r>
        <w:rPr>
          <w:sz w:val="28"/>
          <w:szCs w:val="28"/>
        </w:rPr>
        <w:tab/>
        <w:tab/>
        <w:tab/>
        <w:tab/>
        <w:tab/>
        <w:tab/>
      </w:r>
      <w:r>
        <w:rPr>
          <w:rFonts w:ascii="Times New Roman" w:hAnsi="Times New Roman"/>
          <w:sz w:val="22"/>
          <w:szCs w:val="22"/>
        </w:rPr>
        <w:t>Figure 1</w:t>
      </w:r>
    </w:p>
    <w:p>
      <w:pPr>
        <w:pStyle w:val="Normal"/>
        <w:rPr/>
      </w:pPr>
      <w:r>
        <w:rPr>
          <w:sz w:val="28"/>
          <w:szCs w:val="28"/>
        </w:rPr>
        <w:t xml:space="preserve">                                                </w:t>
      </w:r>
      <w:r>
        <w:rPr/>
        <w:t xml:space="preserve">          </w:t>
      </w:r>
    </w:p>
    <w:p>
      <w:pPr>
        <w:pStyle w:val="Normal"/>
        <w:rPr/>
      </w:pPr>
      <w:r>
        <w:rPr/>
        <w:tab/>
      </w:r>
      <w:r>
        <w:rPr>
          <w:rFonts w:ascii="Times New Roman" w:hAnsi="Times New Roman"/>
          <w:sz w:val="22"/>
          <w:szCs w:val="22"/>
        </w:rPr>
        <w:t>Voici le détail du calcul de la constante solaire, effectué à partir de ces données, avec TS = 5800 K :</w:t>
      </w:r>
    </w:p>
    <w:p>
      <w:pPr>
        <w:pStyle w:val="Normal"/>
        <w:jc w:val="left"/>
        <w:rPr>
          <w:rFonts w:ascii="Times New Roman" w:hAnsi="Times New Roman"/>
          <w:sz w:val="22"/>
          <w:szCs w:val="22"/>
        </w:rPr>
      </w:pPr>
      <w:r>
        <w:rPr/>
      </w:r>
      <m:oMathPara xmlns:m="http://schemas.openxmlformats.org/officeDocument/2006/math">
        <m:oMathParaPr>
          <m:jc m:val="left"/>
        </m:oMathParaPr>
        <m:oMath>
          <m:eqArr>
            <m:e>
              <m:r>
                <m:rPr>
                  <m:lit/>
                  <m:nor/>
                </m:rPr>
                <w:rPr>
                  <w:rFonts w:ascii="Cambria Math" w:hAnsi="Cambria Math"/>
                </w:rPr>
                <m:t xml:space="preserve">Nous avons: </m:t>
              </m:r>
              <m:f>
                <m:num>
                  <m:r>
                    <w:rPr>
                      <w:rFonts w:ascii="Cambria Math" w:hAnsi="Cambria Math"/>
                    </w:rPr>
                    <m:t xml:space="preserve">dP</m:t>
                  </m:r>
                </m:num>
                <m:den>
                  <m:r>
                    <w:rPr>
                      <w:rFonts w:ascii="Cambria Math" w:hAnsi="Cambria Math"/>
                    </w:rPr>
                    <m:t xml:space="preserve">dS</m:t>
                  </m:r>
                </m:den>
              </m:f>
              <m:r>
                <w:rPr>
                  <w:rFonts w:ascii="Cambria Math" w:hAnsi="Cambria Math"/>
                </w:rPr>
                <m:t xml:space="preserve">=</m:t>
              </m:r>
              <m:r>
                <w:rPr>
                  <w:rFonts w:ascii="Cambria Math" w:hAnsi="Cambria Math"/>
                </w:rPr>
                <m:t xml:space="preserve">σ</m:t>
              </m:r>
              <m:sSup>
                <m:e>
                  <m:sSub>
                    <m:e>
                      <m:r>
                        <w:rPr>
                          <w:rFonts w:ascii="Cambria Math" w:hAnsi="Cambria Math"/>
                        </w:rPr>
                        <m:t xml:space="preserve">T</m:t>
                      </m:r>
                    </m:e>
                    <m:sub>
                      <m:r>
                        <w:rPr>
                          <w:rFonts w:ascii="Cambria Math" w:hAnsi="Cambria Math"/>
                        </w:rPr>
                        <m:t xml:space="preserve">S</m:t>
                      </m:r>
                    </m:sub>
                  </m:sSub>
                </m:e>
                <m:sup>
                  <m:r>
                    <w:rPr>
                      <w:rFonts w:ascii="Cambria Math" w:hAnsi="Cambria Math"/>
                    </w:rPr>
                    <m:t xml:space="preserve">4</m:t>
                  </m:r>
                </m:sup>
              </m:sSup>
              <m:r>
                <m:rPr>
                  <m:lit/>
                  <m:nor/>
                </m:rPr>
                <w:rPr>
                  <w:rFonts w:ascii="Cambria Math" w:hAnsi="Cambria Math"/>
                </w:rPr>
                <m:t xml:space="preserve">   (Puissance du rayonnement solaire par mètre carré)</m:t>
              </m:r>
            </m:e>
            <m:e>
              <m:r>
                <m:rPr>
                  <m:lit/>
                  <m:nor/>
                </m:rPr>
                <w:rPr>
                  <w:rFonts w:ascii="Cambria Math" w:hAnsi="Cambria Math"/>
                </w:rPr>
                <m:t xml:space="preserve">Ceci est la loi de Stefan-Boltzman.</m:t>
              </m:r>
            </m:e>
            <m:e>
              <m:r>
                <w:rPr>
                  <w:rFonts w:ascii="Cambria Math" w:hAnsi="Cambria Math"/>
                </w:rPr>
                <m:t xml:space="preserve">σ</m:t>
              </m:r>
              <m:r>
                <m:rPr>
                  <m:lit/>
                  <m:nor/>
                </m:rPr>
                <w:rPr>
                  <w:rFonts w:ascii="Cambria Math" w:hAnsi="Cambria Math"/>
                </w:rPr>
                <m:t xml:space="preserve"> est une constante universelle appelée la constante de Boltzmann, dont la valeur est :</m:t>
              </m:r>
            </m:e>
            <m:e>
              <m:r>
                <w:rPr>
                  <w:rFonts w:ascii="Cambria Math" w:hAnsi="Cambria Math"/>
                </w:rPr>
                <m:t xml:space="preserve">σ</m:t>
              </m:r>
              <m:r>
                <w:rPr>
                  <w:rFonts w:ascii="Cambria Math" w:hAnsi="Cambria Math"/>
                </w:rPr>
                <m:t xml:space="preserve">=</m:t>
              </m:r>
              <m:sSup>
                <m:e>
                  <m:r>
                    <w:rPr>
                      <w:rFonts w:ascii="Cambria Math" w:hAnsi="Cambria Math"/>
                    </w:rPr>
                    <m:t xml:space="preserve">5,670374.10</m:t>
                  </m:r>
                </m:e>
                <m:sup>
                  <m:r>
                    <w:rPr>
                      <w:rFonts w:ascii="Cambria Math" w:hAnsi="Cambria Math"/>
                    </w:rPr>
                    <m:t xml:space="preserve">−</m:t>
                  </m:r>
                  <m:r>
                    <w:rPr>
                      <w:rFonts w:ascii="Cambria Math" w:hAnsi="Cambria Math"/>
                    </w:rPr>
                    <m:t xml:space="preserve">8</m:t>
                  </m:r>
                </m:sup>
              </m:sSup>
              <m:r>
                <w:rPr>
                  <w:rFonts w:ascii="Cambria Math" w:hAnsi="Cambria Math"/>
                </w:rPr>
                <m:t xml:space="preserve">W</m:t>
              </m:r>
              <m:r>
                <w:rPr>
                  <w:rFonts w:ascii="Cambria Math" w:hAnsi="Cambria Math"/>
                </w:rPr>
                <m:t xml:space="preserve">.</m:t>
              </m:r>
              <m:sSup>
                <m:e>
                  <m:r>
                    <w:rPr>
                      <w:rFonts w:ascii="Cambria Math" w:hAnsi="Cambria Math"/>
                    </w:rPr>
                    <m:t xml:space="preserve">m</m:t>
                  </m:r>
                </m:e>
                <m:sup>
                  <m:r>
                    <w:rPr>
                      <w:rFonts w:ascii="Cambria Math" w:hAnsi="Cambria Math"/>
                    </w:rPr>
                    <m:t xml:space="preserve">−</m:t>
                  </m:r>
                  <m:r>
                    <w:rPr>
                      <w:rFonts w:ascii="Cambria Math" w:hAnsi="Cambria Math"/>
                    </w:rPr>
                    <m:t xml:space="preserve">2</m:t>
                  </m:r>
                </m:sup>
              </m:sSup>
              <m:sSup>
                <m:e>
                  <m:r>
                    <w:rPr>
                      <w:rFonts w:ascii="Cambria Math" w:hAnsi="Cambria Math"/>
                    </w:rPr>
                    <m:t xml:space="preserve">K</m:t>
                  </m:r>
                </m:e>
                <m:sup>
                  <m:r>
                    <w:rPr>
                      <w:rFonts w:ascii="Cambria Math" w:hAnsi="Cambria Math"/>
                    </w:rPr>
                    <m:t xml:space="preserve">−</m:t>
                  </m:r>
                  <m:r>
                    <w:rPr>
                      <w:rFonts w:ascii="Cambria Math" w:hAnsi="Cambria Math"/>
                    </w:rPr>
                    <m:t xml:space="preserve">4</m:t>
                  </m:r>
                </m:sup>
              </m:sSup>
            </m:e>
            <m:e>
              <m:r>
                <m:rPr>
                  <m:lit/>
                  <m:nor/>
                </m:rPr>
                <w:rPr>
                  <w:rFonts w:ascii="Cambria Math" w:hAnsi="Cambria Math"/>
                </w:rPr>
                <m:t xml:space="preserve">Nous en déduisons en multipliant la surface de la sphère solaire par la puissance surfacique</m:t>
              </m:r>
            </m:e>
            <m:e>
              <m:sSub>
                <m:e>
                  <m:r>
                    <w:rPr>
                      <w:rFonts w:ascii="Cambria Math" w:hAnsi="Cambria Math"/>
                    </w:rPr>
                    <m:t xml:space="preserve">P</m:t>
                  </m:r>
                </m:e>
                <m:sub>
                  <m:r>
                    <w:rPr>
                      <w:rFonts w:ascii="Cambria Math" w:hAnsi="Cambria Math"/>
                    </w:rPr>
                    <m:t xml:space="preserve">S</m:t>
                  </m:r>
                </m:sub>
              </m:sSub>
              <m:r>
                <w:rPr>
                  <w:rFonts w:ascii="Cambria Math" w:hAnsi="Cambria Math"/>
                </w:rPr>
                <m:t xml:space="preserve">=</m:t>
              </m:r>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r>
                <w:rPr>
                  <w:rFonts w:ascii="Cambria Math" w:hAnsi="Cambria Math"/>
                </w:rPr>
                <m:t xml:space="preserve">=</m:t>
              </m:r>
              <m:r>
                <w:rPr>
                  <w:rFonts w:ascii="Cambria Math" w:hAnsi="Cambria Math"/>
                </w:rPr>
                <m:t xml:space="preserve">4.</m:t>
              </m:r>
              <m:sSup>
                <m:e>
                  <m:r>
                    <w:rPr>
                      <w:rFonts w:ascii="Cambria Math" w:hAnsi="Cambria Math"/>
                    </w:rPr>
                    <m:t xml:space="preserve">10</m:t>
                  </m:r>
                </m:e>
                <m:sup>
                  <m:r>
                    <w:rPr>
                      <w:rFonts w:ascii="Cambria Math" w:hAnsi="Cambria Math"/>
                    </w:rPr>
                    <m:t xml:space="preserve">26</m:t>
                  </m:r>
                </m:sup>
              </m:sSup>
              <m:r>
                <w:rPr>
                  <w:rFonts w:ascii="Cambria Math" w:hAnsi="Cambria Math"/>
                </w:rPr>
                <m:t xml:space="preserve">W</m:t>
              </m:r>
              <m:r>
                <m:rPr>
                  <m:lit/>
                  <m:nor/>
                </m:rPr>
                <w:rPr>
                  <w:rFonts w:ascii="Cambria Math" w:hAnsi="Cambria Math"/>
                </w:rPr>
                <m:t xml:space="preserve">   (Puissance totale émise par le soleil)</m:t>
              </m:r>
            </m:e>
            <m:e>
              <m:r>
                <m:rPr>
                  <m:lit/>
                  <m:nor/>
                </m:rPr>
                <w:rPr>
                  <w:rFonts w:ascii="Cambria Math" w:hAnsi="Cambria Math"/>
                </w:rPr>
                <m:t xml:space="preserve">Puis, en calculant la proportion de cette puissance totale capturée par la terre</m:t>
              </m:r>
            </m:e>
            <m:e>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r>
                <w:rPr>
                  <w:rFonts w:ascii="Cambria Math" w:hAnsi="Cambria Math"/>
                </w:rPr>
                <m:t xml:space="preserve">=</m:t>
              </m:r>
              <m:f>
                <m:num>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num>
                <m:den>
                  <m:r>
                    <w:rPr>
                      <w:rFonts w:ascii="Cambria Math" w:hAnsi="Cambria Math"/>
                    </w:rPr>
                    <m:t xml:space="preserve">4</m:t>
                  </m:r>
                  <m:r>
                    <w:rPr>
                      <w:rFonts w:ascii="Cambria Math" w:hAnsi="Cambria Math"/>
                    </w:rPr>
                    <m:t xml:space="preserve">π</m:t>
                  </m:r>
                  <m:sSup>
                    <m:e>
                      <m:d>
                        <m:dPr>
                          <m:begChr m:val="("/>
                          <m:endChr m:val=")"/>
                        </m:dPr>
                        <m:e>
                          <m:r>
                            <w:rPr>
                              <w:rFonts w:ascii="Cambria Math" w:hAnsi="Cambria Math"/>
                            </w:rPr>
                            <m:t xml:space="preserve">TS</m:t>
                          </m:r>
                        </m:e>
                      </m:d>
                    </m:e>
                    <m:sup>
                      <m:r>
                        <w:rPr>
                          <w:rFonts w:ascii="Cambria Math" w:hAnsi="Cambria Math"/>
                        </w:rPr>
                        <m:t xml:space="preserve">2</m:t>
                      </m:r>
                    </m:sup>
                  </m:sSup>
                </m:den>
              </m:f>
              <m:sSub>
                <m:e>
                  <m:r>
                    <w:rPr>
                      <w:rFonts w:ascii="Cambria Math" w:hAnsi="Cambria Math"/>
                    </w:rPr>
                    <m:t xml:space="preserve">P</m:t>
                  </m:r>
                </m:e>
                <m:sub>
                  <m:r>
                    <w:rPr>
                      <w:rFonts w:ascii="Cambria Math" w:hAnsi="Cambria Math"/>
                    </w:rPr>
                    <m:t xml:space="preserve">S</m:t>
                  </m:r>
                </m:sub>
              </m:sSub>
              <m:r>
                <w:rPr>
                  <w:rFonts w:ascii="Cambria Math" w:hAnsi="Cambria Math"/>
                </w:rPr>
                <m:t xml:space="preserve">=</m:t>
              </m:r>
              <m:sSup>
                <m:e>
                  <m:r>
                    <w:rPr>
                      <w:rFonts w:ascii="Cambria Math" w:hAnsi="Cambria Math"/>
                    </w:rPr>
                    <m:t xml:space="preserve">1,8.10</m:t>
                  </m:r>
                </m:e>
                <m:sup>
                  <m:r>
                    <w:rPr>
                      <w:rFonts w:ascii="Cambria Math" w:hAnsi="Cambria Math"/>
                    </w:rPr>
                    <m:t xml:space="preserve">17</m:t>
                  </m:r>
                </m:sup>
              </m:sSup>
              <m:r>
                <w:rPr>
                  <w:rFonts w:ascii="Cambria Math" w:hAnsi="Cambria Math"/>
                </w:rPr>
                <m:t xml:space="preserve">W</m:t>
              </m:r>
              <m:r>
                <m:rPr>
                  <m:lit/>
                  <m:nor/>
                </m:rPr>
                <w:rPr>
                  <w:rFonts w:ascii="Cambria Math" w:hAnsi="Cambria Math"/>
                </w:rPr>
                <m:t xml:space="preserve">  (Puissance capturée par la terre) et </m:t>
              </m:r>
            </m:e>
            <m:e>
              <m:sSub>
                <m:e>
                  <m:r>
                    <w:rPr>
                      <w:rFonts w:ascii="Cambria Math" w:hAnsi="Cambria Math"/>
                    </w:rPr>
                    <m:t xml:space="preserve">ϕ</m:t>
                  </m:r>
                </m:e>
                <m:sub>
                  <m:r>
                    <w:rPr>
                      <w:rFonts w:ascii="Cambria Math" w:hAnsi="Cambria Math"/>
                    </w:rPr>
                    <m:t xml:space="preserve">S</m:t>
                  </m:r>
                </m:sub>
              </m:sSub>
              <m:r>
                <w:rPr>
                  <w:rFonts w:ascii="Cambria Math" w:hAnsi="Cambria Math"/>
                </w:rPr>
                <m:t xml:space="preserve">=</m:t>
              </m:r>
              <m:f>
                <m:num>
                  <m:sSub>
                    <m:e>
                      <m:r>
                        <w:rPr>
                          <w:rFonts w:ascii="Cambria Math" w:hAnsi="Cambria Math"/>
                        </w:rPr>
                        <m:t xml:space="preserve">P</m:t>
                      </m:r>
                    </m:e>
                    <m:sub>
                      <m:r>
                        <w:rPr>
                          <w:rFonts w:ascii="Cambria Math" w:hAnsi="Cambria Math"/>
                        </w:rPr>
                        <m:t xml:space="preserve">S</m:t>
                      </m:r>
                    </m:sub>
                  </m:sSub>
                </m:num>
                <m:den>
                  <m:r>
                    <w:rPr>
                      <w:rFonts w:ascii="Cambria Math" w:hAnsi="Cambria Math"/>
                    </w:rPr>
                    <m:t xml:space="preserve">4</m:t>
                  </m:r>
                  <m:r>
                    <w:rPr>
                      <w:rFonts w:ascii="Cambria Math" w:hAnsi="Cambria Math"/>
                    </w:rPr>
                    <m:t xml:space="preserve">π</m:t>
                  </m:r>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m:t>
              </m:r>
              <m:r>
                <w:rPr>
                  <w:rFonts w:ascii="Cambria Math" w:hAnsi="Cambria Math"/>
                </w:rPr>
                <m:t xml:space="preserve">1400</m:t>
              </m:r>
              <m:f>
                <m:fPr>
                  <m:type m:val="lin"/>
                </m:fPr>
                <m:num>
                  <m:r>
                    <w:rPr>
                      <w:rFonts w:ascii="Cambria Math" w:hAnsi="Cambria Math"/>
                    </w:rPr>
                    <m:t xml:space="preserve">W</m:t>
                  </m:r>
                </m:num>
                <m:den>
                  <m:sSup>
                    <m:e>
                      <m:r>
                        <w:rPr>
                          <w:rFonts w:ascii="Cambria Math" w:hAnsi="Cambria Math"/>
                        </w:rPr>
                        <m:t xml:space="preserve">m</m:t>
                      </m:r>
                    </m:e>
                    <m:sup>
                      <m:r>
                        <w:rPr>
                          <w:rFonts w:ascii="Cambria Math" w:hAnsi="Cambria Math"/>
                        </w:rPr>
                        <m:t xml:space="preserve">2</m:t>
                      </m:r>
                    </m:sup>
                  </m:sSup>
                </m:den>
              </m:f>
              <m:r>
                <m:rPr>
                  <m:lit/>
                  <m:nor/>
                </m:rPr>
                <w:rPr>
                  <w:rFonts w:ascii="Cambria Math" w:hAnsi="Cambria Math"/>
                </w:rPr>
                <m:t xml:space="preserve">  (Flux solaire par mètre carré à la distance de la terre)</m:t>
              </m:r>
            </m:e>
          </m:eqArr>
        </m:oMath>
      </m:oMathPara>
    </w:p>
    <w:p>
      <w:pPr>
        <w:pStyle w:val="Normal"/>
        <w:rPr/>
      </w:pPr>
      <w:r>
        <w:rPr/>
      </w:r>
    </w:p>
    <w:p>
      <w:pPr>
        <w:pStyle w:val="Normal"/>
        <w:rPr/>
      </w:pPr>
      <w:r>
        <w:rPr>
          <w:rFonts w:ascii="Times New Roman" w:hAnsi="Times New Roman"/>
          <w:b/>
          <w:bCs/>
          <w:sz w:val="26"/>
          <w:szCs w:val="26"/>
        </w:rPr>
        <w:t>Remarque :</w:t>
      </w:r>
      <w:r>
        <w:rPr/>
        <w:t xml:space="preserve"> </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ab/>
        <w:t>La valeur actuellement admise du flux solaire Φ</w:t>
      </w:r>
      <w:r>
        <w:rPr>
          <w:rFonts w:ascii="Times New Roman" w:hAnsi="Times New Roman"/>
          <w:sz w:val="22"/>
          <w:szCs w:val="22"/>
          <w:vertAlign w:val="subscript"/>
        </w:rPr>
        <w:t>S</w:t>
      </w:r>
      <w:r>
        <w:rPr>
          <w:rFonts w:ascii="Times New Roman" w:hAnsi="Times New Roman"/>
          <w:sz w:val="22"/>
          <w:szCs w:val="22"/>
        </w:rPr>
        <w:t xml:space="preserve"> est de 1360 à 1380 W/m², ce qui ne change pas fondamentalement les résultats des calculs.</w:t>
      </w:r>
    </w:p>
    <w:p>
      <w:pPr>
        <w:pStyle w:val="Normal"/>
        <w:rPr>
          <w:rFonts w:ascii="Times New Roman" w:hAnsi="Times New Roman"/>
          <w:b/>
          <w:b/>
          <w:bCs/>
          <w:sz w:val="26"/>
          <w:szCs w:val="26"/>
        </w:rPr>
      </w:pPr>
      <w:r>
        <w:rPr>
          <w:rFonts w:ascii="Times New Roman" w:hAnsi="Times New Roman"/>
          <w:b/>
          <w:bCs/>
          <w:sz w:val="26"/>
          <w:szCs w:val="26"/>
        </w:rPr>
        <w:t xml:space="preserve">                                                                                                                      </w:t>
      </w:r>
    </w:p>
    <w:p>
      <w:pPr>
        <w:pStyle w:val="Normal"/>
        <w:rPr>
          <w:rFonts w:ascii="Times New Roman" w:hAnsi="Times New Roman"/>
          <w:b/>
          <w:b/>
          <w:bCs/>
          <w:sz w:val="26"/>
          <w:szCs w:val="26"/>
        </w:rPr>
      </w:pPr>
      <w:r>
        <w:rPr>
          <w:rFonts w:ascii="Times New Roman" w:hAnsi="Times New Roman"/>
          <w:b/>
          <w:bCs/>
          <w:sz w:val="26"/>
          <w:szCs w:val="26"/>
        </w:rPr>
        <w:t>1-2 L’obtention du chiffre de -18°C :</w:t>
      </w:r>
    </w:p>
    <w:p>
      <w:pPr>
        <w:pStyle w:val="Normal"/>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Nous exposons ici le calcul lui-même, effectué en croyant trouver la température au sol sur une terre sans gaz à effet de serre. Il s'avère, de la manière la plus claire, que l'approche qui est faite comporte au moins cinq erreurs graves, de nature mathématique ou physique. L'interprétation totalement erronée du chiffre de -18°C survient lorsque le raisonnement suivant est effectué :</w:t>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br/>
        <w:tab/>
      </w:r>
      <w:r>
        <w:rPr>
          <w:rFonts w:ascii="Times New Roman" w:hAnsi="Times New Roman"/>
          <w:b/>
          <w:bCs/>
          <w:sz w:val="22"/>
          <w:szCs w:val="22"/>
        </w:rPr>
        <w:t>a) Une terre avec un albédo chimérique :</w:t>
      </w:r>
    </w:p>
    <w:p>
      <w:pPr>
        <w:pStyle w:val="Normal"/>
        <w:jc w:val="both"/>
        <w:rPr>
          <w:rFonts w:ascii="Times New Roman" w:hAnsi="Times New Roman"/>
          <w:sz w:val="22"/>
          <w:szCs w:val="22"/>
        </w:rPr>
      </w:pPr>
      <w:r>
        <w:rPr>
          <w:rFonts w:ascii="Times New Roman" w:hAnsi="Times New Roman"/>
          <w:sz w:val="22"/>
          <w:szCs w:val="22"/>
        </w:rPr>
        <w:br/>
        <w:tab/>
        <w:t>Nous supposons que la terre est en équilibre radiatif. Ceci est correct s’il est question du</w:t>
      </w:r>
      <w:r>
        <w:rPr>
          <w:rFonts w:ascii="Times New Roman" w:hAnsi="Times New Roman"/>
          <w:b/>
          <w:bCs/>
          <w:sz w:val="22"/>
          <w:szCs w:val="22"/>
        </w:rPr>
        <w:t xml:space="preserve"> système terre-atmosphère,</w:t>
      </w:r>
      <w:r>
        <w:rPr>
          <w:rFonts w:ascii="Times New Roman" w:hAnsi="Times New Roman"/>
          <w:sz w:val="22"/>
          <w:szCs w:val="22"/>
        </w:rPr>
        <w:t xml:space="preserve"> incorrect s’il s’agit du sol : ce dernier est en équilibre thermique et non pas en équilibre radiatif uniquement..</w:t>
      </w:r>
    </w:p>
    <w:p>
      <w:pPr>
        <w:pStyle w:val="Normal"/>
        <w:jc w:val="both"/>
        <w:rPr>
          <w:rFonts w:ascii="Times New Roman" w:hAnsi="Times New Roman"/>
          <w:sz w:val="22"/>
          <w:szCs w:val="22"/>
        </w:rPr>
      </w:pPr>
      <w:r>
        <w:rPr>
          <w:rFonts w:ascii="Times New Roman" w:hAnsi="Times New Roman"/>
          <w:sz w:val="22"/>
          <w:szCs w:val="22"/>
        </w:rPr>
        <w:br/>
        <w:tab/>
        <w:t>Pour exploiter cet équilibre radiatif du</w:t>
      </w:r>
      <w:r>
        <w:rPr>
          <w:rFonts w:ascii="Times New Roman" w:hAnsi="Times New Roman"/>
          <w:b/>
          <w:bCs/>
          <w:sz w:val="22"/>
          <w:szCs w:val="22"/>
        </w:rPr>
        <w:t xml:space="preserve"> système terre-atmosphère,</w:t>
      </w:r>
      <w:r>
        <w:rPr>
          <w:rFonts w:ascii="Times New Roman" w:hAnsi="Times New Roman"/>
          <w:sz w:val="22"/>
          <w:szCs w:val="22"/>
        </w:rPr>
        <w:t xml:space="preserve"> nous recherchons le rayonnement entrant total, en multipliant la surface du disque intercepté par le rayonnement solaire par le flux solaire à la distance du système terre-atmosphère, qui est égal à</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
      <m:oMath xmlns:m="http://schemas.openxmlformats.org/officeDocument/2006/math">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r>
          <w:rPr>
            <w:rFonts w:ascii="Cambria Math" w:hAnsi="Cambria Math"/>
          </w:rPr>
          <m:t xml:space="preserve">=</m:t>
        </m:r>
        <m:f>
          <m:num>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num>
          <m:den>
            <m:r>
              <w:rPr>
                <w:rFonts w:ascii="Cambria Math" w:hAnsi="Cambria Math"/>
              </w:rPr>
              <m:t xml:space="preserve">4</m:t>
            </m:r>
            <m:r>
              <w:rPr>
                <w:rFonts w:ascii="Cambria Math" w:hAnsi="Cambria Math"/>
              </w:rPr>
              <m:t xml:space="preserve">π</m:t>
            </m:r>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m:t>
        </m:r>
        <m:f>
          <m:num>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num>
          <m:den>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m:t>
        </m:r>
        <m:r>
          <w:rPr>
            <w:rFonts w:ascii="Cambria Math" w:hAnsi="Cambria Math"/>
          </w:rPr>
          <m:t xml:space="preserve">1371</m:t>
        </m:r>
        <m:f>
          <m:fPr>
            <m:type m:val="lin"/>
          </m:fPr>
          <m:num>
            <m:r>
              <w:rPr>
                <w:rFonts w:ascii="Cambria Math" w:hAnsi="Cambria Math"/>
              </w:rPr>
              <m:t xml:space="preserve">W</m:t>
            </m:r>
          </m:num>
          <m:den>
            <m:r>
              <w:rPr>
                <w:rFonts w:ascii="Cambria Math" w:hAnsi="Cambria Math"/>
              </w:rPr>
              <m:t xml:space="preserve">m</m:t>
            </m:r>
          </m:den>
        </m:f>
        <m:r>
          <w:rPr>
            <w:rFonts w:ascii="Cambria Math" w:hAnsi="Cambria Math"/>
          </w:rPr>
          <m:t xml:space="preserve">²</m:t>
        </m:r>
      </m:oMath>
      <w:r>
        <w:rPr>
          <w:rFonts w:ascii="Times New Roman" w:hAnsi="Times New Roman"/>
          <w:sz w:val="22"/>
          <w:szCs w:val="22"/>
        </w:rPr>
        <w:t xml:space="preserve">                 </w:t>
      </w:r>
      <w:r>
        <w:rPr>
          <w:rFonts w:ascii="Times New Roman" w:hAnsi="Times New Roman"/>
          <w:sz w:val="22"/>
          <w:szCs w:val="22"/>
        </w:rPr>
        <w:t>(Il s'agit de la valeur correcte retenue aujourd'hui.)</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Nous obtenons une irradiance totale de 1371 W/m</w:t>
      </w:r>
      <w:r>
        <w:rPr>
          <w:rFonts w:ascii="Times New Roman" w:hAnsi="Times New Roman"/>
          <w:sz w:val="22"/>
          <w:szCs w:val="22"/>
          <w:vertAlign w:val="superscript"/>
        </w:rPr>
        <w:t>2</w:t>
      </w:r>
      <w:r>
        <w:rPr>
          <w:rFonts w:ascii="Times New Roman" w:hAnsi="Times New Roman"/>
          <w:sz w:val="22"/>
          <w:szCs w:val="22"/>
        </w:rPr>
        <w:t>. Il n'y a pas encore d'erreur. Cette irradiance totale est correcte. Cependant, la surface éclairée prise en compte est fictive. Ce n'est pas la surface réellement irradiée par le soleil. Ceci est très important. Nous obtenons donc bien le rayonnement entrant total, mais en l’appliquant à une surface qui n’est pas la surface réelle éclairée.</w:t>
      </w:r>
    </w:p>
    <w:p>
      <w:pPr>
        <w:pStyle w:val="Normal"/>
        <w:jc w:val="both"/>
        <w:rPr>
          <w:color w:val="C00000"/>
        </w:rPr>
      </w:pPr>
      <w:r>
        <w:rPr>
          <w:rFonts w:ascii="Times New Roman" w:hAnsi="Times New Roman"/>
          <w:sz w:val="22"/>
          <w:szCs w:val="22"/>
        </w:rPr>
        <w:br/>
        <w:tab/>
        <w:t xml:space="preserve">Nous tenons compte de l'albédo en multipliant cette irradiance par (1- 0,3) ce qui donne 960. C'est encore vrai, à condition de considérer un globe ayant bel et bien une atmosphère contenant de l'eau et des nuages, comme sur la terre réelle. Cette condition évidente, cependant, ne changera pas les calculs eux-mêmes. </w:t>
        <w:br/>
        <w:br/>
        <w:tab/>
        <w:t xml:space="preserve">Il faut noter que lorsque les climatologues parlent d’une terre sans atmosphère, mais ayant tout de même un albédo de 0,3, ils parlent d’une chimère. Une terre sans atmosphère n’aurait pas un albédo de 0,3, mais un albédo sans doute assez proche de celui de la Lune ( 0,1 environ ). Or l'exemple de la lune montre que du côté diurne, sur cet astre, la température </w:t>
      </w:r>
      <w:r>
        <w:rPr>
          <w:rFonts w:ascii="Times New Roman" w:hAnsi="Times New Roman"/>
          <w:color w:val="000000"/>
          <w:sz w:val="22"/>
          <w:szCs w:val="22"/>
        </w:rPr>
        <w:t>est de 117°C (390 K) sous le soleil au zénith et la moyenne des températures sur la face éclairée est 0,8 x 380 K = 312 K (39°C) (</w:t>
      </w:r>
      <w:r>
        <w:rPr>
          <w:rFonts w:ascii="Times New Roman" w:hAnsi="Times New Roman"/>
          <w:sz w:val="22"/>
          <w:szCs w:val="22"/>
        </w:rPr>
        <w:t xml:space="preserve">voir l'article de Hurley &amp; al. [12] ).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 xml:space="preserve">    </w:t>
      </w:r>
      <w:r>
        <w:rPr>
          <w:rFonts w:ascii="Times New Roman" w:hAnsi="Times New Roman"/>
          <w:sz w:val="22"/>
          <w:szCs w:val="22"/>
        </w:rPr>
        <w:tab/>
        <w:t>Voici donc une première erreur : un albédo de 0,3 est appliqué à une terre supposée être sans gaz à effet de serre donc sans nuages. Or, l'albédo est essentiellement dû à la présence justement d'un gaz à effet de serre, à savoir la vapeur d'eau. Ceci est donc une erreur incontestable. Ce n’est pas la seule.</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r>
      <w:r>
        <w:rPr>
          <w:rFonts w:ascii="Times New Roman" w:hAnsi="Times New Roman"/>
          <w:b/>
          <w:bCs/>
          <w:sz w:val="22"/>
          <w:szCs w:val="22"/>
        </w:rPr>
        <w:t>b) Distribution de l’irradiance entrante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Poursuivons le raisonnement : nous distribuons cette irradiance totale sur toute la surface de la terre. 1 m</w:t>
      </w:r>
      <w:r>
        <w:rPr>
          <w:rFonts w:ascii="Times New Roman" w:hAnsi="Times New Roman"/>
          <w:sz w:val="22"/>
          <w:szCs w:val="22"/>
          <w:vertAlign w:val="superscript"/>
        </w:rPr>
        <w:t xml:space="preserve">2 </w:t>
      </w:r>
      <w:r>
        <w:rPr>
          <w:rFonts w:ascii="Times New Roman" w:hAnsi="Times New Roman"/>
          <w:sz w:val="22"/>
          <w:szCs w:val="22"/>
        </w:rPr>
        <w:t>de surface terrestre reçoit donc une irradiance moyenne de</w:t>
      </w:r>
    </w:p>
    <w:p>
      <w:pPr>
        <w:pStyle w:val="Normal"/>
        <w:jc w:val="both"/>
        <w:rPr>
          <w:rFonts w:ascii="Times New Roman" w:hAnsi="Times New Roman"/>
          <w:sz w:val="22"/>
          <w:szCs w:val="22"/>
        </w:rPr>
      </w:pPr>
      <w:r>
        <w:rPr>
          <w:rFonts w:ascii="Times New Roman" w:hAnsi="Times New Roman"/>
          <w:sz w:val="22"/>
          <w:szCs w:val="22"/>
        </w:rPr>
      </w:r>
    </w:p>
    <w:p>
      <w:pPr>
        <w:pStyle w:val="Normal"/>
        <w:jc w:val="center"/>
        <w:rPr/>
      </w:pPr>
      <w:r>
        <w:rPr/>
      </w:r>
      <m:oMath xmlns:m="http://schemas.openxmlformats.org/officeDocument/2006/math">
        <m:r>
          <w:rPr>
            <w:rFonts w:ascii="Cambria Math" w:hAnsi="Cambria Math"/>
          </w:rPr>
          <m:t xml:space="preserve">I</m:t>
        </m:r>
        <m:r>
          <w:rPr>
            <w:rFonts w:ascii="Cambria Math" w:hAnsi="Cambria Math"/>
          </w:rPr>
          <m:t xml:space="preserve">=</m:t>
        </m:r>
        <m:f>
          <m:num>
            <m:r>
              <w:rPr>
                <w:rFonts w:ascii="Cambria Math" w:hAnsi="Cambria Math"/>
              </w:rPr>
              <m:t xml:space="preserve">960</m:t>
            </m:r>
            <m:r>
              <w:rPr>
                <w:rFonts w:ascii="Cambria Math" w:hAnsi="Cambria Math"/>
              </w:rPr>
              <m:t xml:space="preserve">π</m:t>
            </m:r>
            <m:sSub>
              <m:e>
                <m:r>
                  <w:rPr>
                    <w:rFonts w:ascii="Cambria Math" w:hAnsi="Cambria Math"/>
                  </w:rPr>
                  <m:t xml:space="preserve">R</m:t>
                </m:r>
              </m:e>
              <m:sub>
                <m:r>
                  <w:rPr>
                    <w:rFonts w:ascii="Cambria Math" w:hAnsi="Cambria Math"/>
                  </w:rPr>
                  <m:t xml:space="preserve">T</m:t>
                </m:r>
              </m:sub>
            </m:sSub>
            <m:r>
              <w:rPr>
                <w:rFonts w:ascii="Cambria Math" w:hAnsi="Cambria Math"/>
              </w:rPr>
              <m:t xml:space="preserve">²</m:t>
            </m:r>
          </m:num>
          <m:den>
            <m:r>
              <w:rPr>
                <w:rFonts w:ascii="Cambria Math" w:hAnsi="Cambria Math"/>
              </w:rPr>
              <m:t xml:space="preserve">4</m:t>
            </m:r>
            <m:r>
              <w:rPr>
                <w:rFonts w:ascii="Cambria Math" w:hAnsi="Cambria Math"/>
              </w:rPr>
              <m:t xml:space="preserve">π</m:t>
            </m:r>
            <m:sSub>
              <m:e>
                <m:r>
                  <w:rPr>
                    <w:rFonts w:ascii="Cambria Math" w:hAnsi="Cambria Math"/>
                  </w:rPr>
                  <m:t xml:space="preserve">R</m:t>
                </m:r>
              </m:e>
              <m:sub>
                <m:r>
                  <w:rPr>
                    <w:rFonts w:ascii="Cambria Math" w:hAnsi="Cambria Math"/>
                  </w:rPr>
                  <m:t xml:space="preserve">T</m:t>
                </m:r>
              </m:sub>
            </m:sSub>
            <m:r>
              <w:rPr>
                <w:rFonts w:ascii="Cambria Math" w:hAnsi="Cambria Math"/>
              </w:rPr>
              <m:t xml:space="preserve">²</m:t>
            </m:r>
          </m:den>
        </m:f>
        <m:r>
          <w:rPr>
            <w:rFonts w:ascii="Cambria Math" w:hAnsi="Cambria Math"/>
          </w:rPr>
          <m:t xml:space="preserve">=</m:t>
        </m:r>
        <m:r>
          <w:rPr>
            <w:rFonts w:ascii="Cambria Math" w:hAnsi="Cambria Math"/>
          </w:rPr>
          <m:t xml:space="preserve">240</m:t>
        </m:r>
        <m:f>
          <m:fPr>
            <m:type m:val="lin"/>
          </m:fPr>
          <m:num>
            <m:r>
              <w:rPr>
                <w:rFonts w:ascii="Cambria Math" w:hAnsi="Cambria Math"/>
              </w:rPr>
              <m:t xml:space="preserve">W</m:t>
            </m:r>
          </m:num>
          <m:den>
            <m:r>
              <w:rPr>
                <w:rFonts w:ascii="Cambria Math" w:hAnsi="Cambria Math"/>
              </w:rPr>
              <m:t xml:space="preserve">m</m:t>
            </m:r>
          </m:den>
        </m:f>
        <m:r>
          <w:rPr>
            <w:rFonts w:ascii="Cambria Math" w:hAnsi="Cambria Math"/>
          </w:rPr>
          <m:t xml:space="preserve">²</m:t>
        </m:r>
      </m:oMath>
      <w:r>
        <w:rPr>
          <w:rFonts w:ascii="Times New Roman" w:hAnsi="Times New Roman"/>
          <w:sz w:val="22"/>
          <w:szCs w:val="22"/>
        </w:rPr>
        <w:t xml:space="preserve"> </w:t>
      </w:r>
      <w:r>
        <w:rPr>
          <w:rFonts w:ascii="Times New Roman" w:hAnsi="Times New Roman"/>
          <w:sz w:val="22"/>
          <w:szCs w:val="22"/>
        </w:rPr>
        <w:br/>
      </w:r>
      <w:r>
        <w:rPr/>
        <w:t xml:space="preserve">                                                                                    </w:t>
      </w:r>
    </w:p>
    <w:p>
      <w:pPr>
        <w:pStyle w:val="Normal"/>
        <w:rPr>
          <w:rFonts w:ascii="Times New Roman" w:hAnsi="Times New Roman"/>
          <w:sz w:val="22"/>
          <w:szCs w:val="22"/>
        </w:rPr>
      </w:pPr>
      <w:r>
        <w:rPr>
          <w:rFonts w:ascii="Times New Roman" w:hAnsi="Times New Roman"/>
          <w:sz w:val="22"/>
          <w:szCs w:val="22"/>
        </w:rPr>
        <w:tab/>
      </w:r>
      <w:r>
        <w:rPr>
          <w:rFonts w:ascii="Times New Roman" w:hAnsi="Times New Roman"/>
          <w:b/>
          <w:bCs/>
          <w:sz w:val="22"/>
          <w:szCs w:val="22"/>
        </w:rPr>
        <w:t>Cette distribution qui n’est justifiée par absolument rien constitue une erreur de nature mathématique extr</w:t>
      </w:r>
      <w:r>
        <w:rPr>
          <w:rFonts w:eastAsia="Noto Serif CJK SC" w:cs="Lohit Devanagari" w:ascii="Times New Roman" w:hAnsi="Times New Roman"/>
          <w:b/>
          <w:bCs/>
          <w:color w:val="auto"/>
          <w:kern w:val="2"/>
          <w:sz w:val="22"/>
          <w:szCs w:val="22"/>
          <w:lang w:val="fr-FR" w:eastAsia="zh-CN" w:bidi="hi-IN"/>
        </w:rPr>
        <w:t xml:space="preserve">êmement </w:t>
      </w:r>
      <w:r>
        <w:rPr>
          <w:rFonts w:ascii="Times New Roman" w:hAnsi="Times New Roman"/>
          <w:b/>
          <w:bCs/>
          <w:sz w:val="22"/>
          <w:szCs w:val="22"/>
        </w:rPr>
        <w:t>lourde de conséquences</w:t>
      </w:r>
      <w:r>
        <w:rPr>
          <w:rFonts w:ascii="Times New Roman" w:hAnsi="Times New Roman"/>
          <w:sz w:val="22"/>
          <w:szCs w:val="22"/>
        </w:rPr>
        <w:t>. (Pourquoi ? Parce qu’il n’a aucun sens de distribuer l’irradiance solaire sur une surface où elle n’existe pas partout.)</w:t>
        <w:br/>
      </w:r>
    </w:p>
    <w:p>
      <w:pPr>
        <w:pStyle w:val="Normal"/>
        <w:rPr>
          <w:rFonts w:ascii="Times New Roman" w:hAnsi="Times New Roman"/>
          <w:sz w:val="22"/>
          <w:szCs w:val="22"/>
        </w:rPr>
      </w:pPr>
      <w:r>
        <w:rPr>
          <w:rFonts w:ascii="Times New Roman" w:hAnsi="Times New Roman"/>
          <w:sz w:val="22"/>
          <w:szCs w:val="22"/>
        </w:rPr>
        <w:tab/>
        <w:t>Il est alors appliqué la formule  P = σ T</w:t>
      </w:r>
      <w:r>
        <w:rPr>
          <w:rFonts w:ascii="Times New Roman" w:hAnsi="Times New Roman"/>
          <w:sz w:val="22"/>
          <w:szCs w:val="22"/>
          <w:vertAlign w:val="superscript"/>
        </w:rPr>
        <w:t xml:space="preserve"> 4 </w:t>
      </w:r>
      <w:r>
        <w:rPr>
          <w:rFonts w:ascii="Times New Roman" w:hAnsi="Times New Roman"/>
          <w:sz w:val="22"/>
          <w:szCs w:val="22"/>
        </w:rPr>
        <w:t xml:space="preserve"> en prenant P = 240 . La température correspondante T trouvée est  T= (240/σ)</w:t>
      </w:r>
      <w:r>
        <w:rPr>
          <w:rFonts w:ascii="Times New Roman" w:hAnsi="Times New Roman"/>
          <w:sz w:val="22"/>
          <w:szCs w:val="22"/>
          <w:vertAlign w:val="superscript"/>
        </w:rPr>
        <w:t xml:space="preserve"> 1/4 </w:t>
      </w:r>
      <w:r>
        <w:rPr>
          <w:rFonts w:ascii="Times New Roman" w:hAnsi="Times New Roman"/>
          <w:sz w:val="22"/>
          <w:szCs w:val="22"/>
        </w:rPr>
        <w:t xml:space="preserve"> ~ -18°C.</w:t>
        <w:br/>
        <w:br/>
        <w:tab/>
        <w:t xml:space="preserve">Cette température est interprétée comme celle qui régnerait sur terre en l’absence de gaz à effet de serre. </w:t>
        <w:br/>
        <w:br/>
        <w:tab/>
        <w:t>Cette affirmation est fausse, comme nous allons le voir.</w:t>
      </w:r>
    </w:p>
    <w:p>
      <w:pPr>
        <w:pStyle w:val="Normal"/>
        <w:rPr/>
      </w:pPr>
      <w:r>
        <w:rPr/>
      </w:r>
    </w:p>
    <w:p>
      <w:pPr>
        <w:pStyle w:val="Normal"/>
        <w:rPr/>
      </w:pPr>
      <w:r>
        <w:rPr/>
      </w:r>
    </w:p>
    <w:p>
      <w:pPr>
        <w:pStyle w:val="Normal"/>
        <w:rPr/>
      </w:pPr>
      <w:r>
        <w:rPr/>
      </w:r>
    </w:p>
    <w:p>
      <w:pPr>
        <w:pStyle w:val="Normal"/>
        <w:rPr/>
      </w:pPr>
      <w:r>
        <w:rPr/>
        <w:drawing>
          <wp:anchor behindDoc="0" distT="0" distB="0" distL="0" distR="0" simplePos="0" locked="0" layoutInCell="0" allowOverlap="1" relativeHeight="22">
            <wp:simplePos x="0" y="0"/>
            <wp:positionH relativeFrom="column">
              <wp:posOffset>1859915</wp:posOffset>
            </wp:positionH>
            <wp:positionV relativeFrom="paragraph">
              <wp:posOffset>120015</wp:posOffset>
            </wp:positionV>
            <wp:extent cx="2858135" cy="1584960"/>
            <wp:effectExtent l="0" t="0" r="0" b="0"/>
            <wp:wrapSquare wrapText="largest"/>
            <wp:docPr id="16"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2" descr=""/>
                    <pic:cNvPicPr>
                      <a:picLocks noChangeAspect="1" noChangeArrowheads="1"/>
                    </pic:cNvPicPr>
                  </pic:nvPicPr>
                  <pic:blipFill>
                    <a:blip r:embed="rId3"/>
                    <a:stretch>
                      <a:fillRect/>
                    </a:stretch>
                  </pic:blipFill>
                  <pic:spPr bwMode="auto">
                    <a:xfrm>
                      <a:off x="0" y="0"/>
                      <a:ext cx="2858135" cy="158496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both"/>
        <w:rPr>
          <w:b/>
          <w:b/>
          <w:bCs/>
        </w:rPr>
      </w:pPr>
      <w:r>
        <w:rPr>
          <w:b/>
          <w:bCs/>
        </w:rPr>
      </w:r>
    </w:p>
    <w:p>
      <w:pPr>
        <w:pStyle w:val="Normal"/>
        <w:jc w:val="both"/>
        <w:rPr>
          <w:b/>
          <w:b/>
          <w:bCs/>
        </w:rPr>
      </w:pPr>
      <w:r>
        <w:rPr>
          <w:b/>
          <w:bCs/>
        </w:rPr>
      </w:r>
    </w:p>
    <w:p>
      <w:pPr>
        <w:pStyle w:val="Normal"/>
        <w:jc w:val="both"/>
        <w:rPr>
          <w:b/>
          <w:b/>
          <w:bCs/>
        </w:rPr>
      </w:pPr>
      <w:r>
        <w:rPr>
          <w:b/>
          <w:bCs/>
        </w:rPr>
      </w:r>
    </w:p>
    <w:p>
      <w:pPr>
        <w:pStyle w:val="Normal"/>
        <w:jc w:val="center"/>
        <w:rPr>
          <w:i/>
          <w:i/>
          <w:iCs/>
        </w:rPr>
      </w:pPr>
      <w:r>
        <w:rPr>
          <w:i/>
          <w:iCs/>
        </w:rPr>
        <w:t>Le rayonnement solaire entre par une hémisphère, le rayonnement infrarouge sort par toute la sphère.</w:t>
      </w:r>
    </w:p>
    <w:p>
      <w:pPr>
        <w:pStyle w:val="Normal"/>
        <w:jc w:val="both"/>
        <w:rPr>
          <w:b/>
          <w:b/>
          <w:bCs/>
        </w:rPr>
      </w:pPr>
      <w:r>
        <w:rPr>
          <w:b/>
          <w:bCs/>
        </w:rPr>
      </w:r>
    </w:p>
    <w:p>
      <w:pPr>
        <w:pStyle w:val="Normal"/>
        <w:jc w:val="both"/>
        <w:rPr>
          <w:b/>
          <w:b/>
          <w:bCs/>
        </w:rPr>
      </w:pPr>
      <w:r>
        <w:rPr>
          <w:b/>
          <w:bCs/>
        </w:rPr>
      </w:r>
    </w:p>
    <w:p>
      <w:pPr>
        <w:pStyle w:val="Normal"/>
        <w:jc w:val="both"/>
        <w:rPr>
          <w:b/>
          <w:b/>
          <w:bCs/>
        </w:rPr>
      </w:pPr>
      <w:r>
        <w:rPr>
          <w:b/>
          <w:bCs/>
        </w:rPr>
      </w:r>
    </w:p>
    <w:p>
      <w:pPr>
        <w:pStyle w:val="Normal"/>
        <w:jc w:val="both"/>
        <w:rPr>
          <w:b/>
          <w:b/>
          <w:bCs/>
        </w:rPr>
      </w:pPr>
      <w:r>
        <w:rPr>
          <w:b/>
          <w:bCs/>
        </w:rPr>
      </w:r>
    </w:p>
    <w:p>
      <w:pPr>
        <w:pStyle w:val="Normal"/>
        <w:jc w:val="both"/>
        <w:rPr>
          <w:b/>
          <w:b/>
          <w:bCs/>
        </w:rPr>
      </w:pPr>
      <w:r>
        <w:rPr>
          <w:b/>
          <w:bCs/>
        </w:rPr>
      </w:r>
    </w:p>
    <w:p>
      <w:pPr>
        <w:pStyle w:val="Normal"/>
        <w:jc w:val="both"/>
        <w:rPr>
          <w:b/>
          <w:b/>
          <w:bCs/>
        </w:rPr>
      </w:pPr>
      <w:r>
        <w:rPr>
          <w:b/>
          <w:bCs/>
        </w:rPr>
      </w:r>
    </w:p>
    <w:p>
      <w:pPr>
        <w:pStyle w:val="Normal"/>
        <w:jc w:val="both"/>
        <w:rPr/>
      </w:pPr>
      <w:r>
        <w:rPr>
          <w:b/>
          <w:bCs/>
        </w:rPr>
        <w:t xml:space="preserve">II -  L’erreur quintuple qui est faite pour le calcul de la température au sol </w:t>
      </w:r>
    </w:p>
    <w:p>
      <w:pPr>
        <w:pStyle w:val="Normal"/>
        <w:jc w:val="both"/>
        <w:rPr>
          <w:b/>
          <w:b/>
          <w:bCs/>
        </w:rPr>
      </w:pPr>
      <w:r>
        <w:rPr>
          <w:b/>
          <w:bCs/>
        </w:rPr>
      </w:r>
    </w:p>
    <w:p>
      <w:pPr>
        <w:pStyle w:val="Normal"/>
        <w:jc w:val="both"/>
        <w:rPr>
          <w:rFonts w:ascii="Times New Roman" w:hAnsi="Times New Roman"/>
          <w:sz w:val="22"/>
          <w:szCs w:val="22"/>
        </w:rPr>
      </w:pPr>
      <w:r>
        <w:rPr>
          <w:rFonts w:ascii="Times New Roman" w:hAnsi="Times New Roman"/>
          <w:b/>
          <w:bCs/>
          <w:sz w:val="22"/>
          <w:szCs w:val="22"/>
        </w:rPr>
        <w:tab/>
        <w:t>L</w:t>
      </w:r>
      <w:r>
        <w:rPr>
          <w:rFonts w:ascii="Times New Roman" w:hAnsi="Times New Roman"/>
          <w:sz w:val="22"/>
          <w:szCs w:val="22"/>
        </w:rPr>
        <w:t>es scientifiques en sont restés à l’idée que la valeur trouvée par la méthode qui vient d’être exposée, à savoir -18°C,  pouvait s’interpréter comme la température qui régnerait au sol sans la présence des gaz à effet de serre. La différence importante entre le résultat trouvé (-18°C) et le résultat des observations (15°C) devait pouvoir s’expliquer et il a été songé à cet effet à la présence des gaz à effet de serre. Une serre en effet permet d’augmenter notablement la température qui règne à l’intérieur par rapport à celle qui règne à l’extérieur.</w:t>
      </w:r>
    </w:p>
    <w:p>
      <w:pPr>
        <w:pStyle w:val="Normal"/>
        <w:jc w:val="both"/>
        <w:rPr>
          <w:rFonts w:ascii="Times New Roman" w:hAnsi="Times New Roman"/>
          <w:sz w:val="22"/>
          <w:szCs w:val="22"/>
        </w:rPr>
      </w:pPr>
      <w:r>
        <w:rPr>
          <w:rFonts w:ascii="Times New Roman" w:hAnsi="Times New Roman"/>
          <w:sz w:val="22"/>
          <w:szCs w:val="22"/>
        </w:rPr>
        <w:br/>
        <w:tab/>
        <w:t>Or, comme nous allons le voir, -18°C n’a aucune espèce de rapport avec la température au sol, avec ou sans gaz à effet de serre. Nous allons le prouver mathématiquement et physiquement dans ce paragraphe.  Le calcul fait comporte en réalité cinq erreurs.</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Pour bien le comprendre, il est nécessaire de reprendre en détail ce calcul.</w:t>
      </w:r>
    </w:p>
    <w:p>
      <w:pPr>
        <w:pStyle w:val="Normal"/>
        <w:jc w:val="both"/>
        <w:rPr>
          <w:rFonts w:ascii="Times New Roman" w:hAnsi="Times New Roman"/>
          <w:sz w:val="22"/>
          <w:szCs w:val="22"/>
        </w:rPr>
      </w:pPr>
      <w:r>
        <w:rPr>
          <w:rFonts w:ascii="Times New Roman" w:hAnsi="Times New Roman"/>
          <w:sz w:val="22"/>
          <w:szCs w:val="22"/>
        </w:rPr>
        <w:br/>
        <w:tab/>
        <w:t>Pour la clarté de l’exposé, nous expliquons tout d’abord par des exemples simples ce que sont ces cinq erreurs afin de bien en saisir l’origine et de pouvoir déceler dans la démarche qui est suivie pour trouver soi-disant la température au sol d’une terre sans gaz à effet de serre, à quel moment exactement ces cinq erreurs se produisent. Nous effectuerons ensuite, en la détaillant très précisément, la même démarche que celle qui a amené à penser qu’il existait un effet de serre naturel et que celui-ci pouvait être évalué par le nombre extraordinairement élevé de 33°C d’augmentation de la température qui règne au sol en raison de leur présence et nous mettrons le doigt sur le moment précis où se produisent les erreurs en question.</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b/>
          <w:bCs/>
          <w:sz w:val="22"/>
          <w:szCs w:val="22"/>
        </w:rPr>
        <w:t>2-1 L’erreur de l’enseignant (distribuer l’irradiance n’importe comment)</w:t>
      </w:r>
    </w:p>
    <w:p>
      <w:pPr>
        <w:pStyle w:val="Normal"/>
        <w:jc w:val="both"/>
        <w:rPr>
          <w:rFonts w:ascii="Times New Roman" w:hAnsi="Times New Roman"/>
          <w:b/>
          <w:b/>
          <w:bCs/>
          <w:sz w:val="22"/>
          <w:szCs w:val="22"/>
        </w:rPr>
      </w:pPr>
      <w:r>
        <w:rPr>
          <w:rFonts w:ascii="Times New Roman" w:hAnsi="Times New Roman"/>
          <w:b/>
          <w:bCs/>
          <w:sz w:val="22"/>
          <w:szCs w:val="22"/>
        </w:rPr>
      </w:r>
    </w:p>
    <w:p>
      <w:pPr>
        <w:pStyle w:val="Normal"/>
        <w:jc w:val="both"/>
        <w:rPr>
          <w:rFonts w:ascii="Times New Roman" w:hAnsi="Times New Roman"/>
          <w:sz w:val="22"/>
          <w:szCs w:val="22"/>
        </w:rPr>
      </w:pPr>
      <w:r>
        <w:rPr>
          <w:rFonts w:ascii="Times New Roman" w:hAnsi="Times New Roman"/>
          <w:b/>
          <w:bCs/>
          <w:sz w:val="22"/>
          <w:szCs w:val="22"/>
        </w:rPr>
        <w:tab/>
      </w:r>
      <w:r>
        <w:rPr>
          <w:rFonts w:ascii="Times New Roman" w:hAnsi="Times New Roman"/>
          <w:sz w:val="22"/>
          <w:szCs w:val="22"/>
        </w:rPr>
        <w:t>Nous appelons erreur de l’enseignant ce dont nous avons été témoin à d’assez nombreuses reprises et que décrit la situation suivante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Considérons une classe de 30 élèves. L’enseignant propose à sa classe une épreuve, qu’il corrige en attribuant des notes sur vingt aux copies rendues. Il se trouve qu’en raison d’une épidémie le nombre d’élèves présents n’est que de quinze. Pour la simplicité, nous supposerons que le total des notes des quinze élèves présents se monte à 180, et que tous les élèves présents ont eu la même note, à savoir 12/20 ( 15 x12 = 180). L’enseignant souhaite connaître le niveau de sa classe et donc calculer la moyenne obtenue par l’ensemble. Il divise alors par 30 et obtient une moyenne de 180 : 30 = 6 sur 20. Il est assez intrigué parce que les notes qu’il a attribuées étaient toutes largement au dessus de cette moyenne.</w:t>
      </w:r>
    </w:p>
    <w:p>
      <w:pPr>
        <w:pStyle w:val="Normal"/>
        <w:jc w:val="both"/>
        <w:rPr>
          <w:rFonts w:ascii="Times New Roman" w:hAnsi="Times New Roman"/>
          <w:sz w:val="22"/>
          <w:szCs w:val="22"/>
        </w:rPr>
      </w:pPr>
      <w:r>
        <w:rPr>
          <w:rFonts w:ascii="Times New Roman" w:hAnsi="Times New Roman"/>
          <w:sz w:val="22"/>
          <w:szCs w:val="22"/>
        </w:rPr>
        <w:br/>
        <w:tab/>
        <w:t>Son erreur est de confondre l’ensemble de la classe avec l’ensemble des élèves présents, qui ne sont pas 30, mais 15. Il aurait dû diviser par 15 et non pas par 30. La moyenne lui permettant d’évaluer le niveau des élèves présents est de 180 : 15 = 12 sur 20. Ce chiffre lui paraît plus significatif. Il l’est en effet. Par contre, il ne peut rien dire du niveau des élèves absents.</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 Cette dernière démarche est la seule correcte pour se faire une idée partielle du niveau de sa classe, compte-tenu de la situation.</w:t>
      </w:r>
    </w:p>
    <w:p>
      <w:pPr>
        <w:pStyle w:val="Normal"/>
        <w:jc w:val="both"/>
        <w:rPr/>
      </w:pPr>
      <w:r>
        <w:rPr>
          <w:rFonts w:ascii="Times New Roman" w:hAnsi="Times New Roman"/>
          <w:sz w:val="22"/>
          <w:szCs w:val="22"/>
        </w:rPr>
        <w:br/>
        <w:tab/>
        <w:t>Nous affirm</w:t>
      </w:r>
      <w:r>
        <w:rPr/>
        <w:t xml:space="preserve">ons </w:t>
      </w:r>
      <w:r>
        <w:rPr>
          <w:rFonts w:ascii="Times New Roman" w:hAnsi="Times New Roman"/>
          <w:sz w:val="22"/>
          <w:szCs w:val="22"/>
        </w:rPr>
        <w:t xml:space="preserve">ici que la démarche aboutissant à croire que sans gaz à effet de serre il ferait -18°C relève en premier lieu de la même erreur que celle de l’enseignant lorsqu’il divise le total des notes obtenues par les élèves présents par 30 et que la démarche correcte nécessite de suivre une autre méthode, analogue dans notre exemple à la méthode qui consiste à diviser par 15 au lieu de 30. Où est exactement « l’erreur de l’enseignant » dans le raisonnement qui aboutit à trouver -18°C comme température au sol sur une terre sans gaz à effet de serre ? </w:t>
      </w:r>
      <w:r>
        <w:rPr>
          <w:rFonts w:ascii="Times New Roman" w:hAnsi="Times New Roman"/>
          <w:i/>
          <w:iCs/>
          <w:sz w:val="22"/>
          <w:szCs w:val="22"/>
        </w:rPr>
        <w:t>Elle est dans le fait que le rayonnement entrant qui n’atteint que la moitié de la terre est considéré comme atteignant de</w:t>
      </w:r>
      <w:r>
        <w:rPr>
          <w:i/>
          <w:iCs/>
        </w:rPr>
        <w:t xml:space="preserve"> manière homogène l’ensemble de la sphère terrestre</w:t>
      </w:r>
      <w:r>
        <w:rPr/>
        <w:t xml:space="preserve">. Ceci divise </w:t>
      </w:r>
      <w:r>
        <w:rPr>
          <w:rFonts w:ascii="Times New Roman" w:hAnsi="Times New Roman"/>
          <w:sz w:val="22"/>
          <w:szCs w:val="22"/>
        </w:rPr>
        <w:t xml:space="preserve">par deux les irradiances moyennes réelles côté jour, exactement comme le moyennage sur trente pour les élèves divise par deux les notes des élèves présents si l’on attribue </w:t>
      </w:r>
      <w:r>
        <w:rPr>
          <w:rFonts w:ascii="Times New Roman" w:hAnsi="Times New Roman"/>
          <w:i/>
          <w:iCs/>
          <w:sz w:val="22"/>
          <w:szCs w:val="22"/>
        </w:rPr>
        <w:t xml:space="preserve">de façon homogène </w:t>
      </w:r>
      <w:r>
        <w:rPr>
          <w:rFonts w:ascii="Times New Roman" w:hAnsi="Times New Roman"/>
          <w:sz w:val="22"/>
          <w:szCs w:val="22"/>
        </w:rPr>
        <w:t xml:space="preserve">la moyenne trouvée à tous les élèves. La bonne méthode dans le cas de la classe est de diviser par 15 et non par 30. Il faut donc bien dans le cas de la recherche sur la température au sol employer une autre méthode, analogue. Nous verrons que cette autre méthode existe et aboutit au nombre de 15°C pour le côté jour, là où le rayonnement est présent mais ne nous renseigne pas sur la température réelle qu’il fait du côté où il est absent, c’est-à-dire le côté nuit. Aucun rapport avec le nombre de -18°C, qui n’a pas plus de sens ou qui est aussi absurde que le 6/20 obtenu par la méthode erronée employée par notre enseignant.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L’erreur de l’enseignant est de loin la plus grave. Il s’y ajoute deux autres erreurs, que nous allons expliquer plus loin, qui aggravent encore l’erreur précédente.</w:t>
      </w:r>
    </w:p>
    <w:p>
      <w:pPr>
        <w:pStyle w:val="Normal"/>
        <w:jc w:val="both"/>
        <w:rPr/>
      </w:pPr>
      <w:r>
        <w:rPr>
          <w:rFonts w:ascii="Times New Roman" w:hAnsi="Times New Roman"/>
          <w:sz w:val="22"/>
          <w:szCs w:val="22"/>
        </w:rPr>
        <w:t xml:space="preserve"> </w:t>
      </w:r>
      <w:r>
        <w:rPr/>
        <w:t xml:space="preserve">                                                                                                                                                                                                                                                                                        </w:t>
      </w:r>
    </w:p>
    <w:tbl>
      <w:tblPr>
        <w:tblW w:w="9405" w:type="dxa"/>
        <w:jc w:val="center"/>
        <w:tblInd w:w="0" w:type="dxa"/>
        <w:tblLayout w:type="fixed"/>
        <w:tblCellMar>
          <w:top w:w="0" w:type="dxa"/>
          <w:left w:w="0" w:type="dxa"/>
          <w:bottom w:w="0" w:type="dxa"/>
          <w:right w:w="0" w:type="dxa"/>
        </w:tblCellMar>
        <w:tblLook w:val="04a0" w:noHBand="0" w:noVBand="1" w:firstColumn="1" w:lastRow="0" w:lastColumn="0" w:firstRow="1"/>
      </w:tblPr>
      <w:tblGrid>
        <w:gridCol w:w="869"/>
        <w:gridCol w:w="45"/>
        <w:gridCol w:w="208"/>
        <w:gridCol w:w="210"/>
        <w:gridCol w:w="213"/>
        <w:gridCol w:w="209"/>
        <w:gridCol w:w="209"/>
        <w:gridCol w:w="211"/>
        <w:gridCol w:w="212"/>
        <w:gridCol w:w="206"/>
        <w:gridCol w:w="211"/>
        <w:gridCol w:w="216"/>
        <w:gridCol w:w="205"/>
        <w:gridCol w:w="209"/>
        <w:gridCol w:w="202"/>
        <w:gridCol w:w="206"/>
        <w:gridCol w:w="207"/>
        <w:gridCol w:w="219"/>
        <w:gridCol w:w="206"/>
        <w:gridCol w:w="217"/>
        <w:gridCol w:w="210"/>
        <w:gridCol w:w="213"/>
        <w:gridCol w:w="209"/>
        <w:gridCol w:w="210"/>
        <w:gridCol w:w="210"/>
        <w:gridCol w:w="213"/>
        <w:gridCol w:w="209"/>
        <w:gridCol w:w="211"/>
        <w:gridCol w:w="213"/>
        <w:gridCol w:w="209"/>
        <w:gridCol w:w="208"/>
        <w:gridCol w:w="244"/>
        <w:gridCol w:w="454"/>
        <w:gridCol w:w="811"/>
        <w:gridCol w:w="888"/>
      </w:tblGrid>
      <w:tr>
        <w:trPr>
          <w:trHeight w:val="216" w:hRule="atLeast"/>
        </w:trPr>
        <w:tc>
          <w:tcPr>
            <w:tcW w:w="869" w:type="dxa"/>
            <w:tcBorders/>
          </w:tcPr>
          <w:p>
            <w:pPr>
              <w:pStyle w:val="Contenudetableau"/>
              <w:widowControl w:val="false"/>
              <w:jc w:val="center"/>
              <w:rPr>
                <w:sz w:val="16"/>
                <w:szCs w:val="16"/>
              </w:rPr>
            </w:pPr>
            <w:r>
              <w:rPr>
                <w:sz w:val="16"/>
                <w:szCs w:val="16"/>
              </w:rPr>
              <w:t xml:space="preserve"> </w:t>
            </w:r>
            <w:r>
              <w:rPr>
                <w:sz w:val="16"/>
                <w:szCs w:val="16"/>
              </w:rPr>
              <w:t>élève</w:t>
            </w:r>
          </w:p>
        </w:tc>
        <w:tc>
          <w:tcPr>
            <w:tcW w:w="45" w:type="dxa"/>
            <w:tcBorders/>
          </w:tcPr>
          <w:p>
            <w:pPr>
              <w:pStyle w:val="Contenudetableau"/>
              <w:widowControl w:val="false"/>
              <w:jc w:val="center"/>
              <w:rPr>
                <w:sz w:val="16"/>
                <w:szCs w:val="16"/>
              </w:rPr>
            </w:pPr>
            <w:r>
              <w:rPr>
                <w:sz w:val="16"/>
                <w:szCs w:val="16"/>
              </w:rPr>
            </w:r>
          </w:p>
        </w:tc>
        <w:tc>
          <w:tcPr>
            <w:tcW w:w="208" w:type="dxa"/>
            <w:tcBorders/>
          </w:tcPr>
          <w:p>
            <w:pPr>
              <w:pStyle w:val="Contenudetableau"/>
              <w:widowControl w:val="false"/>
              <w:jc w:val="center"/>
              <w:rPr>
                <w:sz w:val="16"/>
                <w:szCs w:val="16"/>
              </w:rPr>
            </w:pPr>
            <w:r>
              <w:rPr>
                <w:sz w:val="16"/>
                <w:szCs w:val="16"/>
              </w:rPr>
              <w:t>1</w:t>
            </w:r>
          </w:p>
        </w:tc>
        <w:tc>
          <w:tcPr>
            <w:tcW w:w="210" w:type="dxa"/>
            <w:tcBorders/>
          </w:tcPr>
          <w:p>
            <w:pPr>
              <w:pStyle w:val="Contenudetableau"/>
              <w:widowControl w:val="false"/>
              <w:jc w:val="center"/>
              <w:rPr>
                <w:sz w:val="16"/>
                <w:szCs w:val="16"/>
              </w:rPr>
            </w:pPr>
            <w:r>
              <w:rPr>
                <w:sz w:val="16"/>
                <w:szCs w:val="16"/>
              </w:rPr>
              <w:t>2</w:t>
            </w:r>
          </w:p>
        </w:tc>
        <w:tc>
          <w:tcPr>
            <w:tcW w:w="213" w:type="dxa"/>
            <w:tcBorders/>
          </w:tcPr>
          <w:p>
            <w:pPr>
              <w:pStyle w:val="Contenudetableau"/>
              <w:widowControl w:val="false"/>
              <w:jc w:val="center"/>
              <w:rPr>
                <w:sz w:val="16"/>
                <w:szCs w:val="16"/>
              </w:rPr>
            </w:pPr>
            <w:r>
              <w:rPr>
                <w:sz w:val="16"/>
                <w:szCs w:val="16"/>
              </w:rPr>
              <w:t>3</w:t>
            </w:r>
          </w:p>
        </w:tc>
        <w:tc>
          <w:tcPr>
            <w:tcW w:w="209" w:type="dxa"/>
            <w:tcBorders/>
          </w:tcPr>
          <w:p>
            <w:pPr>
              <w:pStyle w:val="Contenudetableau"/>
              <w:widowControl w:val="false"/>
              <w:jc w:val="center"/>
              <w:rPr>
                <w:sz w:val="16"/>
                <w:szCs w:val="16"/>
              </w:rPr>
            </w:pPr>
            <w:r>
              <w:rPr>
                <w:sz w:val="16"/>
                <w:szCs w:val="16"/>
              </w:rPr>
              <w:t>4</w:t>
            </w:r>
          </w:p>
        </w:tc>
        <w:tc>
          <w:tcPr>
            <w:tcW w:w="209" w:type="dxa"/>
            <w:tcBorders/>
          </w:tcPr>
          <w:p>
            <w:pPr>
              <w:pStyle w:val="Contenudetableau"/>
              <w:widowControl w:val="false"/>
              <w:jc w:val="center"/>
              <w:rPr>
                <w:sz w:val="16"/>
                <w:szCs w:val="16"/>
              </w:rPr>
            </w:pPr>
            <w:r>
              <w:rPr>
                <w:sz w:val="16"/>
                <w:szCs w:val="16"/>
              </w:rPr>
              <w:t>5</w:t>
            </w:r>
          </w:p>
        </w:tc>
        <w:tc>
          <w:tcPr>
            <w:tcW w:w="211" w:type="dxa"/>
            <w:tcBorders/>
          </w:tcPr>
          <w:p>
            <w:pPr>
              <w:pStyle w:val="Contenudetableau"/>
              <w:widowControl w:val="false"/>
              <w:jc w:val="center"/>
              <w:rPr>
                <w:sz w:val="16"/>
                <w:szCs w:val="16"/>
              </w:rPr>
            </w:pPr>
            <w:r>
              <w:rPr>
                <w:sz w:val="16"/>
                <w:szCs w:val="16"/>
              </w:rPr>
              <w:t xml:space="preserve"> </w:t>
            </w:r>
            <w:r>
              <w:rPr>
                <w:sz w:val="16"/>
                <w:szCs w:val="16"/>
              </w:rPr>
              <w:t xml:space="preserve">6   </w:t>
            </w:r>
          </w:p>
        </w:tc>
        <w:tc>
          <w:tcPr>
            <w:tcW w:w="212" w:type="dxa"/>
            <w:tcBorders/>
          </w:tcPr>
          <w:p>
            <w:pPr>
              <w:pStyle w:val="Contenudetableau"/>
              <w:widowControl w:val="false"/>
              <w:jc w:val="center"/>
              <w:rPr>
                <w:sz w:val="16"/>
                <w:szCs w:val="16"/>
              </w:rPr>
            </w:pPr>
            <w:r>
              <w:rPr>
                <w:sz w:val="16"/>
                <w:szCs w:val="16"/>
              </w:rPr>
              <w:t xml:space="preserve">  </w:t>
            </w:r>
            <w:r>
              <w:rPr>
                <w:sz w:val="16"/>
                <w:szCs w:val="16"/>
              </w:rPr>
              <w:t>7</w:t>
            </w:r>
          </w:p>
        </w:tc>
        <w:tc>
          <w:tcPr>
            <w:tcW w:w="206" w:type="dxa"/>
            <w:tcBorders/>
          </w:tcPr>
          <w:p>
            <w:pPr>
              <w:pStyle w:val="Contenudetableau"/>
              <w:widowControl w:val="false"/>
              <w:jc w:val="center"/>
              <w:rPr>
                <w:sz w:val="16"/>
                <w:szCs w:val="16"/>
              </w:rPr>
            </w:pPr>
            <w:r>
              <w:rPr>
                <w:sz w:val="16"/>
                <w:szCs w:val="16"/>
              </w:rPr>
              <w:t>8</w:t>
            </w:r>
          </w:p>
        </w:tc>
        <w:tc>
          <w:tcPr>
            <w:tcW w:w="211" w:type="dxa"/>
            <w:tcBorders/>
          </w:tcPr>
          <w:p>
            <w:pPr>
              <w:pStyle w:val="Contenudetableau"/>
              <w:widowControl w:val="false"/>
              <w:jc w:val="center"/>
              <w:rPr>
                <w:sz w:val="16"/>
                <w:szCs w:val="16"/>
              </w:rPr>
            </w:pPr>
            <w:r>
              <w:rPr>
                <w:sz w:val="16"/>
                <w:szCs w:val="16"/>
              </w:rPr>
              <w:t>9</w:t>
            </w:r>
          </w:p>
        </w:tc>
        <w:tc>
          <w:tcPr>
            <w:tcW w:w="216" w:type="dxa"/>
            <w:tcBorders/>
          </w:tcPr>
          <w:p>
            <w:pPr>
              <w:pStyle w:val="Contenudetableau"/>
              <w:widowControl w:val="false"/>
              <w:jc w:val="center"/>
              <w:rPr>
                <w:sz w:val="16"/>
                <w:szCs w:val="16"/>
              </w:rPr>
            </w:pPr>
            <w:r>
              <w:rPr>
                <w:sz w:val="16"/>
                <w:szCs w:val="16"/>
              </w:rPr>
              <w:t xml:space="preserve"> </w:t>
            </w:r>
            <w:r>
              <w:rPr>
                <w:sz w:val="16"/>
                <w:szCs w:val="16"/>
              </w:rPr>
              <w:t xml:space="preserve">10    </w:t>
            </w:r>
          </w:p>
        </w:tc>
        <w:tc>
          <w:tcPr>
            <w:tcW w:w="205" w:type="dxa"/>
            <w:tcBorders/>
          </w:tcPr>
          <w:p>
            <w:pPr>
              <w:pStyle w:val="Contenudetableau"/>
              <w:widowControl w:val="false"/>
              <w:jc w:val="center"/>
              <w:rPr>
                <w:sz w:val="16"/>
                <w:szCs w:val="16"/>
              </w:rPr>
            </w:pPr>
            <w:r>
              <w:rPr>
                <w:sz w:val="16"/>
                <w:szCs w:val="16"/>
              </w:rPr>
              <w:t>11</w:t>
            </w:r>
          </w:p>
        </w:tc>
        <w:tc>
          <w:tcPr>
            <w:tcW w:w="209"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t>13</w:t>
            </w:r>
          </w:p>
        </w:tc>
        <w:tc>
          <w:tcPr>
            <w:tcW w:w="206" w:type="dxa"/>
            <w:tcBorders/>
          </w:tcPr>
          <w:p>
            <w:pPr>
              <w:pStyle w:val="Contenudetableau"/>
              <w:widowControl w:val="false"/>
              <w:jc w:val="center"/>
              <w:rPr>
                <w:sz w:val="16"/>
                <w:szCs w:val="16"/>
              </w:rPr>
            </w:pPr>
            <w:r>
              <w:rPr>
                <w:sz w:val="16"/>
                <w:szCs w:val="16"/>
              </w:rPr>
              <w:t>14</w:t>
            </w:r>
          </w:p>
        </w:tc>
        <w:tc>
          <w:tcPr>
            <w:tcW w:w="207" w:type="dxa"/>
            <w:tcBorders/>
          </w:tcPr>
          <w:p>
            <w:pPr>
              <w:pStyle w:val="Contenudetableau"/>
              <w:widowControl w:val="false"/>
              <w:jc w:val="center"/>
              <w:rPr>
                <w:sz w:val="16"/>
                <w:szCs w:val="16"/>
              </w:rPr>
            </w:pPr>
            <w:r>
              <w:rPr>
                <w:sz w:val="16"/>
                <w:szCs w:val="16"/>
              </w:rPr>
              <w:t xml:space="preserve"> </w:t>
            </w:r>
            <w:r>
              <w:rPr>
                <w:sz w:val="16"/>
                <w:szCs w:val="16"/>
              </w:rPr>
              <w:t>15</w:t>
            </w:r>
          </w:p>
        </w:tc>
        <w:tc>
          <w:tcPr>
            <w:tcW w:w="219" w:type="dxa"/>
            <w:tcBorders/>
          </w:tcPr>
          <w:p>
            <w:pPr>
              <w:pStyle w:val="Contenudetableau"/>
              <w:widowControl w:val="false"/>
              <w:jc w:val="center"/>
              <w:rPr>
                <w:sz w:val="16"/>
                <w:szCs w:val="16"/>
              </w:rPr>
            </w:pPr>
            <w:r>
              <w:rPr>
                <w:sz w:val="16"/>
                <w:szCs w:val="16"/>
              </w:rPr>
              <w:t>16</w:t>
            </w:r>
          </w:p>
        </w:tc>
        <w:tc>
          <w:tcPr>
            <w:tcW w:w="206" w:type="dxa"/>
            <w:tcBorders/>
          </w:tcPr>
          <w:p>
            <w:pPr>
              <w:pStyle w:val="Contenudetableau"/>
              <w:widowControl w:val="false"/>
              <w:jc w:val="center"/>
              <w:rPr>
                <w:sz w:val="16"/>
                <w:szCs w:val="16"/>
              </w:rPr>
            </w:pPr>
            <w:r>
              <w:rPr>
                <w:sz w:val="16"/>
                <w:szCs w:val="16"/>
              </w:rPr>
              <w:t>17</w:t>
            </w:r>
          </w:p>
        </w:tc>
        <w:tc>
          <w:tcPr>
            <w:tcW w:w="217" w:type="dxa"/>
            <w:tcBorders/>
          </w:tcPr>
          <w:p>
            <w:pPr>
              <w:pStyle w:val="Contenudetableau"/>
              <w:widowControl w:val="false"/>
              <w:jc w:val="center"/>
              <w:rPr>
                <w:sz w:val="16"/>
                <w:szCs w:val="16"/>
              </w:rPr>
            </w:pPr>
            <w:r>
              <w:rPr>
                <w:sz w:val="16"/>
                <w:szCs w:val="16"/>
              </w:rPr>
              <w:t xml:space="preserve"> </w:t>
            </w:r>
            <w:r>
              <w:rPr>
                <w:sz w:val="16"/>
                <w:szCs w:val="16"/>
              </w:rPr>
              <w:t>18</w:t>
            </w:r>
          </w:p>
        </w:tc>
        <w:tc>
          <w:tcPr>
            <w:tcW w:w="210" w:type="dxa"/>
            <w:tcBorders/>
          </w:tcPr>
          <w:p>
            <w:pPr>
              <w:pStyle w:val="Contenudetableau"/>
              <w:widowControl w:val="false"/>
              <w:jc w:val="center"/>
              <w:rPr>
                <w:sz w:val="16"/>
                <w:szCs w:val="16"/>
              </w:rPr>
            </w:pPr>
            <w:r>
              <w:rPr>
                <w:sz w:val="16"/>
                <w:szCs w:val="16"/>
              </w:rPr>
              <w:t>19</w:t>
            </w:r>
          </w:p>
        </w:tc>
        <w:tc>
          <w:tcPr>
            <w:tcW w:w="213" w:type="dxa"/>
            <w:tcBorders/>
          </w:tcPr>
          <w:p>
            <w:pPr>
              <w:pStyle w:val="Contenudetableau"/>
              <w:widowControl w:val="false"/>
              <w:jc w:val="center"/>
              <w:rPr>
                <w:sz w:val="16"/>
                <w:szCs w:val="16"/>
              </w:rPr>
            </w:pPr>
            <w:r>
              <w:rPr>
                <w:sz w:val="16"/>
                <w:szCs w:val="16"/>
              </w:rPr>
              <w:t>20</w:t>
            </w:r>
          </w:p>
        </w:tc>
        <w:tc>
          <w:tcPr>
            <w:tcW w:w="209" w:type="dxa"/>
            <w:tcBorders/>
          </w:tcPr>
          <w:p>
            <w:pPr>
              <w:pStyle w:val="Contenudetableau"/>
              <w:widowControl w:val="false"/>
              <w:jc w:val="center"/>
              <w:rPr>
                <w:sz w:val="16"/>
                <w:szCs w:val="16"/>
              </w:rPr>
            </w:pPr>
            <w:r>
              <w:rPr>
                <w:sz w:val="16"/>
                <w:szCs w:val="16"/>
              </w:rPr>
              <w:t xml:space="preserve"> </w:t>
            </w:r>
            <w:r>
              <w:rPr>
                <w:sz w:val="16"/>
                <w:szCs w:val="16"/>
              </w:rPr>
              <w:t>21</w:t>
            </w:r>
          </w:p>
        </w:tc>
        <w:tc>
          <w:tcPr>
            <w:tcW w:w="210" w:type="dxa"/>
            <w:tcBorders/>
          </w:tcPr>
          <w:p>
            <w:pPr>
              <w:pStyle w:val="Contenudetableau"/>
              <w:widowControl w:val="false"/>
              <w:jc w:val="center"/>
              <w:rPr>
                <w:sz w:val="16"/>
                <w:szCs w:val="16"/>
              </w:rPr>
            </w:pPr>
            <w:r>
              <w:rPr>
                <w:sz w:val="16"/>
                <w:szCs w:val="16"/>
              </w:rPr>
              <w:t>22</w:t>
            </w:r>
          </w:p>
        </w:tc>
        <w:tc>
          <w:tcPr>
            <w:tcW w:w="210" w:type="dxa"/>
            <w:tcBorders/>
          </w:tcPr>
          <w:p>
            <w:pPr>
              <w:pStyle w:val="Contenudetableau"/>
              <w:widowControl w:val="false"/>
              <w:jc w:val="center"/>
              <w:rPr>
                <w:sz w:val="16"/>
                <w:szCs w:val="16"/>
              </w:rPr>
            </w:pPr>
            <w:r>
              <w:rPr>
                <w:sz w:val="16"/>
                <w:szCs w:val="16"/>
              </w:rPr>
              <w:t>23</w:t>
            </w:r>
          </w:p>
        </w:tc>
        <w:tc>
          <w:tcPr>
            <w:tcW w:w="213" w:type="dxa"/>
            <w:tcBorders/>
          </w:tcPr>
          <w:p>
            <w:pPr>
              <w:pStyle w:val="Contenudetableau"/>
              <w:widowControl w:val="false"/>
              <w:jc w:val="center"/>
              <w:rPr>
                <w:sz w:val="16"/>
                <w:szCs w:val="16"/>
              </w:rPr>
            </w:pPr>
            <w:r>
              <w:rPr>
                <w:sz w:val="16"/>
                <w:szCs w:val="16"/>
              </w:rPr>
              <w:t>24</w:t>
            </w:r>
          </w:p>
        </w:tc>
        <w:tc>
          <w:tcPr>
            <w:tcW w:w="209" w:type="dxa"/>
            <w:tcBorders/>
          </w:tcPr>
          <w:p>
            <w:pPr>
              <w:pStyle w:val="Contenudetableau"/>
              <w:widowControl w:val="false"/>
              <w:jc w:val="center"/>
              <w:rPr>
                <w:sz w:val="16"/>
                <w:szCs w:val="16"/>
              </w:rPr>
            </w:pPr>
            <w:r>
              <w:rPr>
                <w:sz w:val="16"/>
                <w:szCs w:val="16"/>
              </w:rPr>
              <w:t xml:space="preserve"> </w:t>
            </w:r>
            <w:r>
              <w:rPr>
                <w:sz w:val="16"/>
                <w:szCs w:val="16"/>
              </w:rPr>
              <w:t>25</w:t>
            </w:r>
          </w:p>
        </w:tc>
        <w:tc>
          <w:tcPr>
            <w:tcW w:w="211" w:type="dxa"/>
            <w:tcBorders/>
          </w:tcPr>
          <w:p>
            <w:pPr>
              <w:pStyle w:val="Contenudetableau"/>
              <w:widowControl w:val="false"/>
              <w:jc w:val="center"/>
              <w:rPr>
                <w:sz w:val="16"/>
                <w:szCs w:val="16"/>
              </w:rPr>
            </w:pPr>
            <w:r>
              <w:rPr>
                <w:sz w:val="16"/>
                <w:szCs w:val="16"/>
              </w:rPr>
              <w:t xml:space="preserve"> </w:t>
            </w:r>
            <w:r>
              <w:rPr>
                <w:sz w:val="16"/>
                <w:szCs w:val="16"/>
              </w:rPr>
              <w:t>26</w:t>
            </w:r>
          </w:p>
        </w:tc>
        <w:tc>
          <w:tcPr>
            <w:tcW w:w="213" w:type="dxa"/>
            <w:tcBorders/>
          </w:tcPr>
          <w:p>
            <w:pPr>
              <w:pStyle w:val="Contenudetableau"/>
              <w:widowControl w:val="false"/>
              <w:jc w:val="center"/>
              <w:rPr>
                <w:sz w:val="16"/>
                <w:szCs w:val="16"/>
              </w:rPr>
            </w:pPr>
            <w:r>
              <w:rPr>
                <w:sz w:val="16"/>
                <w:szCs w:val="16"/>
              </w:rPr>
              <w:t>27</w:t>
            </w:r>
          </w:p>
        </w:tc>
        <w:tc>
          <w:tcPr>
            <w:tcW w:w="209" w:type="dxa"/>
            <w:tcBorders/>
          </w:tcPr>
          <w:p>
            <w:pPr>
              <w:pStyle w:val="Contenudetableau"/>
              <w:widowControl w:val="false"/>
              <w:jc w:val="center"/>
              <w:rPr>
                <w:sz w:val="16"/>
                <w:szCs w:val="16"/>
              </w:rPr>
            </w:pPr>
            <w:r>
              <w:rPr>
                <w:sz w:val="16"/>
                <w:szCs w:val="16"/>
              </w:rPr>
              <w:t>28</w:t>
            </w:r>
          </w:p>
        </w:tc>
        <w:tc>
          <w:tcPr>
            <w:tcW w:w="208" w:type="dxa"/>
            <w:tcBorders/>
          </w:tcPr>
          <w:p>
            <w:pPr>
              <w:pStyle w:val="Contenudetableau"/>
              <w:widowControl w:val="false"/>
              <w:jc w:val="center"/>
              <w:rPr>
                <w:sz w:val="16"/>
                <w:szCs w:val="16"/>
              </w:rPr>
            </w:pPr>
            <w:r>
              <w:rPr>
                <w:sz w:val="16"/>
                <w:szCs w:val="16"/>
              </w:rPr>
              <w:t>29</w:t>
            </w:r>
          </w:p>
        </w:tc>
        <w:tc>
          <w:tcPr>
            <w:tcW w:w="244" w:type="dxa"/>
            <w:tcBorders/>
          </w:tcPr>
          <w:p>
            <w:pPr>
              <w:pStyle w:val="Contenudetableau"/>
              <w:widowControl w:val="false"/>
              <w:jc w:val="center"/>
              <w:rPr>
                <w:sz w:val="16"/>
                <w:szCs w:val="16"/>
              </w:rPr>
            </w:pPr>
            <w:r>
              <w:rPr>
                <w:sz w:val="16"/>
                <w:szCs w:val="16"/>
              </w:rPr>
              <w:t>30</w:t>
            </w:r>
          </w:p>
        </w:tc>
        <w:tc>
          <w:tcPr>
            <w:tcW w:w="454" w:type="dxa"/>
            <w:tcBorders/>
          </w:tcPr>
          <w:p>
            <w:pPr>
              <w:pStyle w:val="Contenudetableau"/>
              <w:widowControl w:val="false"/>
              <w:jc w:val="center"/>
              <w:rPr>
                <w:sz w:val="16"/>
                <w:szCs w:val="16"/>
              </w:rPr>
            </w:pPr>
            <w:r>
              <w:rPr>
                <w:sz w:val="16"/>
                <w:szCs w:val="16"/>
              </w:rPr>
              <w:t>Total</w:t>
            </w:r>
          </w:p>
        </w:tc>
        <w:tc>
          <w:tcPr>
            <w:tcW w:w="811" w:type="dxa"/>
            <w:tcBorders/>
          </w:tcPr>
          <w:p>
            <w:pPr>
              <w:pStyle w:val="Contenudetableau"/>
              <w:widowControl w:val="false"/>
              <w:jc w:val="center"/>
              <w:rPr>
                <w:sz w:val="16"/>
                <w:szCs w:val="16"/>
              </w:rPr>
            </w:pPr>
            <w:r>
              <w:rPr>
                <w:sz w:val="16"/>
                <w:szCs w:val="16"/>
              </w:rPr>
              <w:t>Moyenne/15</w:t>
            </w:r>
          </w:p>
        </w:tc>
        <w:tc>
          <w:tcPr>
            <w:tcW w:w="888" w:type="dxa"/>
            <w:tcBorders/>
          </w:tcPr>
          <w:p>
            <w:pPr>
              <w:pStyle w:val="Contenudetableau"/>
              <w:widowControl w:val="false"/>
              <w:jc w:val="center"/>
              <w:rPr>
                <w:sz w:val="16"/>
                <w:szCs w:val="16"/>
              </w:rPr>
            </w:pPr>
            <w:r>
              <w:rPr>
                <w:sz w:val="16"/>
                <w:szCs w:val="16"/>
              </w:rPr>
              <w:t>Moyenne/30</w:t>
            </w:r>
          </w:p>
        </w:tc>
      </w:tr>
      <w:tr>
        <w:trPr>
          <w:trHeight w:val="174" w:hRule="atLeast"/>
        </w:trPr>
        <w:tc>
          <w:tcPr>
            <w:tcW w:w="869" w:type="dxa"/>
            <w:tcBorders/>
          </w:tcPr>
          <w:p>
            <w:pPr>
              <w:pStyle w:val="Contenudetableau"/>
              <w:widowControl w:val="false"/>
              <w:jc w:val="center"/>
              <w:rPr>
                <w:sz w:val="16"/>
                <w:szCs w:val="16"/>
              </w:rPr>
            </w:pPr>
            <w:r>
              <w:rPr>
                <w:sz w:val="16"/>
                <w:szCs w:val="16"/>
              </w:rPr>
              <w:t xml:space="preserve"> </w:t>
            </w:r>
            <w:r>
              <w:rPr>
                <w:sz w:val="16"/>
                <w:szCs w:val="16"/>
              </w:rPr>
              <w:t>note</w:t>
            </w:r>
          </w:p>
        </w:tc>
        <w:tc>
          <w:tcPr>
            <w:tcW w:w="45" w:type="dxa"/>
            <w:tcBorders/>
          </w:tcPr>
          <w:p>
            <w:pPr>
              <w:pStyle w:val="Contenudetableau"/>
              <w:widowControl w:val="false"/>
              <w:jc w:val="center"/>
              <w:rPr>
                <w:sz w:val="16"/>
                <w:szCs w:val="16"/>
              </w:rPr>
            </w:pPr>
            <w:r>
              <w:rPr>
                <w:sz w:val="16"/>
                <w:szCs w:val="16"/>
              </w:rPr>
            </w:r>
          </w:p>
        </w:tc>
        <w:tc>
          <w:tcPr>
            <w:tcW w:w="208" w:type="dxa"/>
            <w:tcBorders/>
          </w:tcPr>
          <w:p>
            <w:pPr>
              <w:pStyle w:val="Contenudetableau"/>
              <w:widowControl w:val="false"/>
              <w:jc w:val="center"/>
              <w:rPr/>
            </w:pPr>
            <w:r>
              <w:rPr>
                <w:sz w:val="16"/>
                <w:szCs w:val="16"/>
              </w:rPr>
              <w:t xml:space="preserve"> </w:t>
            </w:r>
            <w:r>
              <w:rPr>
                <w:sz w:val="16"/>
                <w:szCs w:val="16"/>
              </w:rPr>
              <w:t>12</w:t>
            </w:r>
          </w:p>
        </w:tc>
        <w:tc>
          <w:tcPr>
            <w:tcW w:w="210" w:type="dxa"/>
            <w:tcBorders/>
          </w:tcPr>
          <w:p>
            <w:pPr>
              <w:pStyle w:val="Contenudetableau"/>
              <w:widowControl w:val="false"/>
              <w:jc w:val="center"/>
              <w:rPr>
                <w:sz w:val="16"/>
                <w:szCs w:val="16"/>
              </w:rPr>
            </w:pPr>
            <w:r>
              <w:rPr>
                <w:sz w:val="16"/>
                <w:szCs w:val="16"/>
              </w:rPr>
              <w:t xml:space="preserve">  </w:t>
            </w:r>
          </w:p>
        </w:tc>
        <w:tc>
          <w:tcPr>
            <w:tcW w:w="213" w:type="dxa"/>
            <w:tcBorders/>
          </w:tcPr>
          <w:p>
            <w:pPr>
              <w:pStyle w:val="Contenudetableau"/>
              <w:widowControl w:val="false"/>
              <w:jc w:val="center"/>
              <w:rPr/>
            </w:pPr>
            <w:r>
              <w:rPr>
                <w:sz w:val="16"/>
                <w:szCs w:val="16"/>
              </w:rPr>
              <w:t>12</w:t>
            </w:r>
          </w:p>
        </w:tc>
        <w:tc>
          <w:tcPr>
            <w:tcW w:w="209" w:type="dxa"/>
            <w:tcBorders/>
          </w:tcPr>
          <w:p>
            <w:pPr>
              <w:pStyle w:val="Contenudetableau"/>
              <w:widowControl w:val="false"/>
              <w:jc w:val="center"/>
              <w:rPr>
                <w:sz w:val="16"/>
                <w:szCs w:val="16"/>
              </w:rPr>
            </w:pPr>
            <w:r>
              <w:rPr>
                <w:sz w:val="16"/>
                <w:szCs w:val="16"/>
              </w:rPr>
              <w:t>12</w:t>
            </w:r>
          </w:p>
        </w:tc>
        <w:tc>
          <w:tcPr>
            <w:tcW w:w="209" w:type="dxa"/>
            <w:tcBorders/>
          </w:tcPr>
          <w:p>
            <w:pPr>
              <w:pStyle w:val="Contenudetableau"/>
              <w:widowControl w:val="false"/>
              <w:jc w:val="center"/>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2" w:type="dxa"/>
            <w:tcBorders/>
          </w:tcPr>
          <w:p>
            <w:pPr>
              <w:pStyle w:val="Contenudetableau"/>
              <w:widowControl w:val="false"/>
              <w:jc w:val="center"/>
              <w:rPr>
                <w:sz w:val="16"/>
                <w:szCs w:val="16"/>
              </w:rPr>
            </w:pPr>
            <w:r>
              <w:rPr>
                <w:sz w:val="16"/>
                <w:szCs w:val="16"/>
              </w:rPr>
            </w:r>
          </w:p>
        </w:tc>
        <w:tc>
          <w:tcPr>
            <w:tcW w:w="206" w:type="dxa"/>
            <w:tcBorders/>
          </w:tcPr>
          <w:p>
            <w:pPr>
              <w:pStyle w:val="Contenudetableau"/>
              <w:widowControl w:val="false"/>
              <w:jc w:val="center"/>
              <w:rPr>
                <w:sz w:val="16"/>
                <w:szCs w:val="16"/>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6" w:type="dxa"/>
            <w:tcBorders/>
          </w:tcPr>
          <w:p>
            <w:pPr>
              <w:pStyle w:val="Contenudetableau"/>
              <w:widowControl w:val="false"/>
              <w:jc w:val="center"/>
              <w:rPr/>
            </w:pPr>
            <w:r>
              <w:rPr>
                <w:sz w:val="16"/>
                <w:szCs w:val="16"/>
              </w:rPr>
              <w:t>12</w:t>
            </w:r>
          </w:p>
        </w:tc>
        <w:tc>
          <w:tcPr>
            <w:tcW w:w="205"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06" w:type="dxa"/>
            <w:tcBorders/>
          </w:tcPr>
          <w:p>
            <w:pPr>
              <w:pStyle w:val="Contenudetableau"/>
              <w:widowControl w:val="false"/>
              <w:jc w:val="center"/>
              <w:rPr/>
            </w:pPr>
            <w:r>
              <w:rPr>
                <w:sz w:val="16"/>
                <w:szCs w:val="16"/>
              </w:rPr>
              <w:t>12</w:t>
            </w:r>
          </w:p>
        </w:tc>
        <w:tc>
          <w:tcPr>
            <w:tcW w:w="207" w:type="dxa"/>
            <w:tcBorders/>
          </w:tcPr>
          <w:p>
            <w:pPr>
              <w:pStyle w:val="Contenudetableau"/>
              <w:widowControl w:val="false"/>
              <w:jc w:val="center"/>
              <w:rPr>
                <w:sz w:val="16"/>
                <w:szCs w:val="16"/>
              </w:rPr>
            </w:pPr>
            <w:r>
              <w:rPr>
                <w:sz w:val="16"/>
                <w:szCs w:val="16"/>
              </w:rPr>
            </w:r>
          </w:p>
        </w:tc>
        <w:tc>
          <w:tcPr>
            <w:tcW w:w="219" w:type="dxa"/>
            <w:tcBorders/>
          </w:tcPr>
          <w:p>
            <w:pPr>
              <w:pStyle w:val="Contenudetableau"/>
              <w:widowControl w:val="false"/>
              <w:jc w:val="center"/>
              <w:rPr/>
            </w:pPr>
            <w:r>
              <w:rPr>
                <w:sz w:val="16"/>
                <w:szCs w:val="16"/>
              </w:rPr>
              <w:t>12</w:t>
            </w:r>
          </w:p>
        </w:tc>
        <w:tc>
          <w:tcPr>
            <w:tcW w:w="206" w:type="dxa"/>
            <w:tcBorders/>
          </w:tcPr>
          <w:p>
            <w:pPr>
              <w:pStyle w:val="Contenudetableau"/>
              <w:widowControl w:val="false"/>
              <w:jc w:val="center"/>
              <w:rPr>
                <w:sz w:val="16"/>
                <w:szCs w:val="16"/>
              </w:rPr>
            </w:pPr>
            <w:r>
              <w:rPr>
                <w:sz w:val="16"/>
                <w:szCs w:val="16"/>
              </w:rPr>
            </w:r>
          </w:p>
        </w:tc>
        <w:tc>
          <w:tcPr>
            <w:tcW w:w="217" w:type="dxa"/>
            <w:tcBorders/>
          </w:tcPr>
          <w:p>
            <w:pPr>
              <w:pStyle w:val="Contenudetableau"/>
              <w:widowControl w:val="false"/>
              <w:jc w:val="center"/>
              <w:rPr>
                <w:sz w:val="16"/>
                <w:szCs w:val="16"/>
              </w:rPr>
            </w:pPr>
            <w:r>
              <w:rPr>
                <w:sz w:val="16"/>
                <w:szCs w:val="16"/>
              </w:rPr>
            </w:r>
          </w:p>
        </w:tc>
        <w:tc>
          <w:tcPr>
            <w:tcW w:w="210" w:type="dxa"/>
            <w:tcBorders/>
          </w:tcPr>
          <w:p>
            <w:pPr>
              <w:pStyle w:val="Contenudetableau"/>
              <w:widowControl w:val="false"/>
              <w:jc w:val="center"/>
              <w:rPr/>
            </w:pPr>
            <w:r>
              <w:rPr>
                <w:sz w:val="16"/>
                <w:szCs w:val="16"/>
              </w:rPr>
              <w:t>12</w:t>
            </w:r>
          </w:p>
        </w:tc>
        <w:tc>
          <w:tcPr>
            <w:tcW w:w="213"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pPr>
            <w:r>
              <w:rPr>
                <w:sz w:val="16"/>
                <w:szCs w:val="16"/>
              </w:rPr>
              <w:t xml:space="preserve"> </w:t>
            </w:r>
            <w:r>
              <w:rPr>
                <w:sz w:val="16"/>
                <w:szCs w:val="16"/>
              </w:rPr>
              <w:t>12</w:t>
            </w:r>
          </w:p>
        </w:tc>
        <w:tc>
          <w:tcPr>
            <w:tcW w:w="210" w:type="dxa"/>
            <w:tcBorders/>
          </w:tcPr>
          <w:p>
            <w:pPr>
              <w:pStyle w:val="Contenudetableau"/>
              <w:widowControl w:val="false"/>
              <w:jc w:val="center"/>
              <w:rPr>
                <w:sz w:val="16"/>
                <w:szCs w:val="16"/>
              </w:rPr>
            </w:pPr>
            <w:r>
              <w:rPr>
                <w:sz w:val="16"/>
                <w:szCs w:val="16"/>
              </w:rPr>
            </w:r>
          </w:p>
        </w:tc>
        <w:tc>
          <w:tcPr>
            <w:tcW w:w="210" w:type="dxa"/>
            <w:tcBorders/>
          </w:tcPr>
          <w:p>
            <w:pPr>
              <w:pStyle w:val="Contenudetableau"/>
              <w:widowControl w:val="false"/>
              <w:jc w:val="center"/>
              <w:rPr/>
            </w:pPr>
            <w:r>
              <w:rPr>
                <w:sz w:val="16"/>
                <w:szCs w:val="16"/>
              </w:rPr>
              <w:t>12</w:t>
            </w:r>
          </w:p>
        </w:tc>
        <w:tc>
          <w:tcPr>
            <w:tcW w:w="213"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3" w:type="dxa"/>
            <w:tcBorders/>
          </w:tcPr>
          <w:p>
            <w:pPr>
              <w:pStyle w:val="Contenudetableau"/>
              <w:widowControl w:val="false"/>
              <w:jc w:val="center"/>
              <w:rPr/>
            </w:pPr>
            <w:r>
              <w:rPr>
                <w:sz w:val="16"/>
                <w:szCs w:val="16"/>
              </w:rPr>
              <w:t xml:space="preserve"> </w:t>
            </w:r>
            <w:r>
              <w:rPr>
                <w:sz w:val="16"/>
                <w:szCs w:val="16"/>
              </w:rPr>
              <w:t>12</w:t>
            </w:r>
          </w:p>
        </w:tc>
        <w:tc>
          <w:tcPr>
            <w:tcW w:w="209" w:type="dxa"/>
            <w:tcBorders/>
          </w:tcPr>
          <w:p>
            <w:pPr>
              <w:pStyle w:val="Contenudetableau"/>
              <w:widowControl w:val="false"/>
              <w:jc w:val="center"/>
              <w:rPr/>
            </w:pPr>
            <w:r>
              <w:rPr>
                <w:sz w:val="16"/>
                <w:szCs w:val="16"/>
              </w:rPr>
              <w:t xml:space="preserve"> </w:t>
            </w:r>
            <w:r>
              <w:rPr>
                <w:sz w:val="16"/>
                <w:szCs w:val="16"/>
              </w:rPr>
              <w:t>12</w:t>
            </w:r>
          </w:p>
        </w:tc>
        <w:tc>
          <w:tcPr>
            <w:tcW w:w="208" w:type="dxa"/>
            <w:tcBorders/>
          </w:tcPr>
          <w:p>
            <w:pPr>
              <w:pStyle w:val="Contenudetableau"/>
              <w:widowControl w:val="false"/>
              <w:jc w:val="center"/>
              <w:rPr>
                <w:sz w:val="16"/>
                <w:szCs w:val="16"/>
              </w:rPr>
            </w:pPr>
            <w:r>
              <w:rPr>
                <w:sz w:val="16"/>
                <w:szCs w:val="16"/>
              </w:rPr>
            </w:r>
          </w:p>
        </w:tc>
        <w:tc>
          <w:tcPr>
            <w:tcW w:w="244" w:type="dxa"/>
            <w:tcBorders/>
          </w:tcPr>
          <w:p>
            <w:pPr>
              <w:pStyle w:val="Contenudetableau"/>
              <w:widowControl w:val="false"/>
              <w:jc w:val="center"/>
              <w:rPr>
                <w:sz w:val="16"/>
                <w:szCs w:val="16"/>
              </w:rPr>
            </w:pPr>
            <w:r>
              <w:rPr>
                <w:sz w:val="16"/>
                <w:szCs w:val="16"/>
              </w:rPr>
            </w:r>
          </w:p>
        </w:tc>
        <w:tc>
          <w:tcPr>
            <w:tcW w:w="454" w:type="dxa"/>
            <w:tcBorders/>
          </w:tcPr>
          <w:p>
            <w:pPr>
              <w:pStyle w:val="Contenudetableau"/>
              <w:widowControl w:val="false"/>
              <w:jc w:val="center"/>
              <w:rPr>
                <w:sz w:val="16"/>
                <w:szCs w:val="16"/>
              </w:rPr>
            </w:pPr>
            <w:r>
              <w:rPr>
                <w:sz w:val="16"/>
                <w:szCs w:val="16"/>
              </w:rPr>
              <w:t xml:space="preserve">  </w:t>
            </w:r>
            <w:r>
              <w:rPr>
                <w:sz w:val="16"/>
                <w:szCs w:val="16"/>
              </w:rPr>
              <w:t>180</w:t>
            </w:r>
          </w:p>
        </w:tc>
        <w:tc>
          <w:tcPr>
            <w:tcW w:w="811" w:type="dxa"/>
            <w:tcBorders/>
          </w:tcPr>
          <w:p>
            <w:pPr>
              <w:pStyle w:val="Contenudetableau"/>
              <w:widowControl w:val="false"/>
              <w:jc w:val="center"/>
              <w:rPr>
                <w:sz w:val="16"/>
                <w:szCs w:val="16"/>
              </w:rPr>
            </w:pPr>
            <w:r>
              <w:rPr>
                <w:sz w:val="16"/>
                <w:szCs w:val="16"/>
              </w:rPr>
              <w:t xml:space="preserve">        </w:t>
            </w:r>
            <w:r>
              <w:rPr>
                <w:sz w:val="16"/>
                <w:szCs w:val="16"/>
              </w:rPr>
              <w:t>12</w:t>
            </w:r>
          </w:p>
        </w:tc>
        <w:tc>
          <w:tcPr>
            <w:tcW w:w="888" w:type="dxa"/>
            <w:tcBorders/>
          </w:tcPr>
          <w:p>
            <w:pPr>
              <w:pStyle w:val="Contenudetableau"/>
              <w:widowControl w:val="false"/>
              <w:jc w:val="center"/>
              <w:rPr>
                <w:sz w:val="16"/>
                <w:szCs w:val="16"/>
              </w:rPr>
            </w:pPr>
            <w:r>
              <w:rPr>
                <w:sz w:val="16"/>
                <w:szCs w:val="16"/>
              </w:rPr>
              <w:t xml:space="preserve"> </w:t>
            </w:r>
            <w:r>
              <w:rPr>
                <w:sz w:val="16"/>
                <w:szCs w:val="16"/>
              </w:rPr>
              <w:t>6</w:t>
            </w:r>
          </w:p>
        </w:tc>
      </w:tr>
      <w:tr>
        <w:trPr>
          <w:trHeight w:val="216" w:hRule="atLeast"/>
        </w:trPr>
        <w:tc>
          <w:tcPr>
            <w:tcW w:w="869" w:type="dxa"/>
            <w:tcBorders/>
          </w:tcPr>
          <w:p>
            <w:pPr>
              <w:pStyle w:val="Contenudetableau"/>
              <w:widowControl w:val="false"/>
              <w:jc w:val="center"/>
              <w:rPr>
                <w:sz w:val="16"/>
                <w:szCs w:val="16"/>
              </w:rPr>
            </w:pPr>
            <w:r>
              <w:rPr>
                <w:sz w:val="16"/>
                <w:szCs w:val="16"/>
              </w:rPr>
              <w:t>Moyennage</w:t>
            </w:r>
          </w:p>
        </w:tc>
        <w:tc>
          <w:tcPr>
            <w:tcW w:w="45" w:type="dxa"/>
            <w:tcBorders/>
          </w:tcPr>
          <w:p>
            <w:pPr>
              <w:pStyle w:val="Contenudetableau"/>
              <w:widowControl w:val="false"/>
              <w:jc w:val="center"/>
              <w:rPr>
                <w:sz w:val="16"/>
                <w:szCs w:val="16"/>
              </w:rPr>
            </w:pPr>
            <w:r>
              <w:rPr>
                <w:sz w:val="16"/>
                <w:szCs w:val="16"/>
              </w:rPr>
            </w:r>
          </w:p>
        </w:tc>
        <w:tc>
          <w:tcPr>
            <w:tcW w:w="208" w:type="dxa"/>
            <w:tcBorders/>
          </w:tcPr>
          <w:p>
            <w:pPr>
              <w:pStyle w:val="Contenudetableau"/>
              <w:widowControl w:val="false"/>
              <w:jc w:val="center"/>
              <w:rPr>
                <w:sz w:val="16"/>
                <w:szCs w:val="16"/>
              </w:rPr>
            </w:pPr>
            <w:r>
              <w:rPr>
                <w:sz w:val="16"/>
                <w:szCs w:val="16"/>
              </w:rPr>
              <w:t>12</w:t>
            </w:r>
          </w:p>
        </w:tc>
        <w:tc>
          <w:tcPr>
            <w:tcW w:w="210" w:type="dxa"/>
            <w:tcBorders/>
          </w:tcPr>
          <w:p>
            <w:pPr>
              <w:pStyle w:val="Contenudetableau"/>
              <w:widowControl w:val="false"/>
              <w:jc w:val="center"/>
              <w:rPr>
                <w:sz w:val="16"/>
                <w:szCs w:val="16"/>
              </w:rPr>
            </w:pPr>
            <w:r>
              <w:rPr>
                <w:sz w:val="16"/>
                <w:szCs w:val="16"/>
              </w:rPr>
            </w:r>
          </w:p>
        </w:tc>
        <w:tc>
          <w:tcPr>
            <w:tcW w:w="213" w:type="dxa"/>
            <w:tcBorders/>
          </w:tcPr>
          <w:p>
            <w:pPr>
              <w:pStyle w:val="Contenudetableau"/>
              <w:widowControl w:val="false"/>
              <w:jc w:val="center"/>
              <w:rPr>
                <w:sz w:val="16"/>
                <w:szCs w:val="16"/>
              </w:rPr>
            </w:pPr>
            <w:r>
              <w:rPr>
                <w:sz w:val="16"/>
                <w:szCs w:val="16"/>
              </w:rPr>
              <w:t>12</w:t>
            </w:r>
          </w:p>
        </w:tc>
        <w:tc>
          <w:tcPr>
            <w:tcW w:w="209" w:type="dxa"/>
            <w:tcBorders/>
          </w:tcPr>
          <w:p>
            <w:pPr>
              <w:pStyle w:val="Contenudetableau"/>
              <w:widowControl w:val="false"/>
              <w:jc w:val="center"/>
              <w:rPr>
                <w:sz w:val="16"/>
                <w:szCs w:val="16"/>
              </w:rPr>
            </w:pPr>
            <w:r>
              <w:rPr>
                <w:sz w:val="16"/>
                <w:szCs w:val="16"/>
              </w:rPr>
              <w:t>12</w:t>
            </w:r>
          </w:p>
        </w:tc>
        <w:tc>
          <w:tcPr>
            <w:tcW w:w="209" w:type="dxa"/>
            <w:tcBorders/>
          </w:tcPr>
          <w:p>
            <w:pPr>
              <w:pStyle w:val="Contenudetableau"/>
              <w:widowControl w:val="false"/>
              <w:jc w:val="center"/>
              <w:rPr>
                <w:sz w:val="16"/>
                <w:szCs w:val="16"/>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2" w:type="dxa"/>
            <w:tcBorders/>
          </w:tcPr>
          <w:p>
            <w:pPr>
              <w:pStyle w:val="Contenudetableau"/>
              <w:widowControl w:val="false"/>
              <w:jc w:val="center"/>
              <w:rPr>
                <w:sz w:val="16"/>
                <w:szCs w:val="16"/>
              </w:rPr>
            </w:pPr>
            <w:r>
              <w:rPr>
                <w:sz w:val="16"/>
                <w:szCs w:val="16"/>
              </w:rPr>
            </w:r>
          </w:p>
        </w:tc>
        <w:tc>
          <w:tcPr>
            <w:tcW w:w="206" w:type="dxa"/>
            <w:tcBorders/>
          </w:tcPr>
          <w:p>
            <w:pPr>
              <w:pStyle w:val="Contenudetableau"/>
              <w:widowControl w:val="false"/>
              <w:jc w:val="center"/>
              <w:rPr>
                <w:sz w:val="16"/>
                <w:szCs w:val="16"/>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6" w:type="dxa"/>
            <w:tcBorders/>
          </w:tcPr>
          <w:p>
            <w:pPr>
              <w:pStyle w:val="Contenudetableau"/>
              <w:widowControl w:val="false"/>
              <w:jc w:val="center"/>
              <w:rPr>
                <w:sz w:val="16"/>
                <w:szCs w:val="16"/>
              </w:rPr>
            </w:pPr>
            <w:r>
              <w:rPr>
                <w:sz w:val="16"/>
                <w:szCs w:val="16"/>
              </w:rPr>
              <w:t>12</w:t>
            </w:r>
          </w:p>
        </w:tc>
        <w:tc>
          <w:tcPr>
            <w:tcW w:w="205"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06" w:type="dxa"/>
            <w:tcBorders/>
          </w:tcPr>
          <w:p>
            <w:pPr>
              <w:pStyle w:val="Contenudetableau"/>
              <w:widowControl w:val="false"/>
              <w:jc w:val="center"/>
              <w:rPr>
                <w:sz w:val="16"/>
                <w:szCs w:val="16"/>
              </w:rPr>
            </w:pPr>
            <w:r>
              <w:rPr>
                <w:sz w:val="16"/>
                <w:szCs w:val="16"/>
              </w:rPr>
              <w:t>12</w:t>
            </w:r>
          </w:p>
        </w:tc>
        <w:tc>
          <w:tcPr>
            <w:tcW w:w="207" w:type="dxa"/>
            <w:tcBorders/>
          </w:tcPr>
          <w:p>
            <w:pPr>
              <w:pStyle w:val="Contenudetableau"/>
              <w:widowControl w:val="false"/>
              <w:jc w:val="center"/>
              <w:rPr>
                <w:sz w:val="16"/>
                <w:szCs w:val="16"/>
              </w:rPr>
            </w:pPr>
            <w:r>
              <w:rPr>
                <w:sz w:val="16"/>
                <w:szCs w:val="16"/>
              </w:rPr>
            </w:r>
          </w:p>
        </w:tc>
        <w:tc>
          <w:tcPr>
            <w:tcW w:w="219" w:type="dxa"/>
            <w:tcBorders/>
          </w:tcPr>
          <w:p>
            <w:pPr>
              <w:pStyle w:val="Contenudetableau"/>
              <w:widowControl w:val="false"/>
              <w:jc w:val="center"/>
              <w:rPr>
                <w:sz w:val="16"/>
                <w:szCs w:val="16"/>
              </w:rPr>
            </w:pPr>
            <w:r>
              <w:rPr>
                <w:sz w:val="16"/>
                <w:szCs w:val="16"/>
              </w:rPr>
              <w:t>12</w:t>
            </w:r>
          </w:p>
        </w:tc>
        <w:tc>
          <w:tcPr>
            <w:tcW w:w="206" w:type="dxa"/>
            <w:tcBorders/>
          </w:tcPr>
          <w:p>
            <w:pPr>
              <w:pStyle w:val="Contenudetableau"/>
              <w:widowControl w:val="false"/>
              <w:jc w:val="center"/>
              <w:rPr>
                <w:sz w:val="16"/>
                <w:szCs w:val="16"/>
              </w:rPr>
            </w:pPr>
            <w:r>
              <w:rPr>
                <w:sz w:val="16"/>
                <w:szCs w:val="16"/>
              </w:rPr>
            </w:r>
          </w:p>
        </w:tc>
        <w:tc>
          <w:tcPr>
            <w:tcW w:w="217" w:type="dxa"/>
            <w:tcBorders/>
          </w:tcPr>
          <w:p>
            <w:pPr>
              <w:pStyle w:val="Contenudetableau"/>
              <w:widowControl w:val="false"/>
              <w:jc w:val="center"/>
              <w:rPr>
                <w:sz w:val="16"/>
                <w:szCs w:val="16"/>
              </w:rPr>
            </w:pPr>
            <w:r>
              <w:rPr>
                <w:sz w:val="16"/>
                <w:szCs w:val="16"/>
              </w:rPr>
            </w:r>
          </w:p>
        </w:tc>
        <w:tc>
          <w:tcPr>
            <w:tcW w:w="210" w:type="dxa"/>
            <w:tcBorders/>
          </w:tcPr>
          <w:p>
            <w:pPr>
              <w:pStyle w:val="Contenudetableau"/>
              <w:widowControl w:val="false"/>
              <w:jc w:val="center"/>
              <w:rPr>
                <w:sz w:val="16"/>
                <w:szCs w:val="16"/>
              </w:rPr>
            </w:pPr>
            <w:r>
              <w:rPr>
                <w:sz w:val="16"/>
                <w:szCs w:val="16"/>
              </w:rPr>
              <w:t>12</w:t>
            </w:r>
          </w:p>
        </w:tc>
        <w:tc>
          <w:tcPr>
            <w:tcW w:w="213"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sz w:val="16"/>
                <w:szCs w:val="16"/>
              </w:rPr>
            </w:pPr>
            <w:r>
              <w:rPr>
                <w:sz w:val="16"/>
                <w:szCs w:val="16"/>
              </w:rPr>
              <w:t>12</w:t>
            </w:r>
          </w:p>
        </w:tc>
        <w:tc>
          <w:tcPr>
            <w:tcW w:w="210" w:type="dxa"/>
            <w:tcBorders/>
          </w:tcPr>
          <w:p>
            <w:pPr>
              <w:pStyle w:val="Contenudetableau"/>
              <w:widowControl w:val="false"/>
              <w:jc w:val="center"/>
              <w:rPr>
                <w:sz w:val="16"/>
                <w:szCs w:val="16"/>
              </w:rPr>
            </w:pPr>
            <w:r>
              <w:rPr>
                <w:sz w:val="16"/>
                <w:szCs w:val="16"/>
              </w:rPr>
            </w:r>
          </w:p>
        </w:tc>
        <w:tc>
          <w:tcPr>
            <w:tcW w:w="210" w:type="dxa"/>
            <w:tcBorders/>
          </w:tcPr>
          <w:p>
            <w:pPr>
              <w:pStyle w:val="Contenudetableau"/>
              <w:widowControl w:val="false"/>
              <w:jc w:val="center"/>
              <w:rPr>
                <w:sz w:val="16"/>
                <w:szCs w:val="16"/>
              </w:rPr>
            </w:pPr>
            <w:r>
              <w:rPr>
                <w:sz w:val="16"/>
                <w:szCs w:val="16"/>
              </w:rPr>
              <w:t>12</w:t>
            </w:r>
          </w:p>
        </w:tc>
        <w:tc>
          <w:tcPr>
            <w:tcW w:w="213" w:type="dxa"/>
            <w:tcBorders/>
          </w:tcPr>
          <w:p>
            <w:pPr>
              <w:pStyle w:val="Contenudetableau"/>
              <w:widowControl w:val="false"/>
              <w:jc w:val="center"/>
              <w:rPr>
                <w:sz w:val="16"/>
                <w:szCs w:val="16"/>
              </w:rPr>
            </w:pPr>
            <w:r>
              <w:rPr>
                <w:sz w:val="16"/>
                <w:szCs w:val="16"/>
              </w:rPr>
            </w:r>
          </w:p>
        </w:tc>
        <w:tc>
          <w:tcPr>
            <w:tcW w:w="209" w:type="dxa"/>
            <w:tcBorders/>
          </w:tcPr>
          <w:p>
            <w:pPr>
              <w:pStyle w:val="Contenudetableau"/>
              <w:widowControl w:val="false"/>
              <w:jc w:val="center"/>
              <w:rPr>
                <w:sz w:val="16"/>
                <w:szCs w:val="16"/>
              </w:rPr>
            </w:pPr>
            <w:r>
              <w:rPr>
                <w:sz w:val="16"/>
                <w:szCs w:val="16"/>
              </w:rPr>
              <w:t>12</w:t>
            </w:r>
          </w:p>
        </w:tc>
        <w:tc>
          <w:tcPr>
            <w:tcW w:w="211" w:type="dxa"/>
            <w:tcBorders/>
          </w:tcPr>
          <w:p>
            <w:pPr>
              <w:pStyle w:val="Contenudetableau"/>
              <w:widowControl w:val="false"/>
              <w:jc w:val="center"/>
              <w:rPr>
                <w:sz w:val="16"/>
                <w:szCs w:val="16"/>
              </w:rPr>
            </w:pPr>
            <w:r>
              <w:rPr>
                <w:sz w:val="16"/>
                <w:szCs w:val="16"/>
              </w:rPr>
            </w:r>
          </w:p>
        </w:tc>
        <w:tc>
          <w:tcPr>
            <w:tcW w:w="213" w:type="dxa"/>
            <w:tcBorders/>
          </w:tcPr>
          <w:p>
            <w:pPr>
              <w:pStyle w:val="Contenudetableau"/>
              <w:widowControl w:val="false"/>
              <w:jc w:val="center"/>
              <w:rPr>
                <w:sz w:val="16"/>
                <w:szCs w:val="16"/>
              </w:rPr>
            </w:pPr>
            <w:r>
              <w:rPr>
                <w:sz w:val="16"/>
                <w:szCs w:val="16"/>
              </w:rPr>
              <w:t>12</w:t>
            </w:r>
          </w:p>
        </w:tc>
        <w:tc>
          <w:tcPr>
            <w:tcW w:w="209" w:type="dxa"/>
            <w:tcBorders/>
          </w:tcPr>
          <w:p>
            <w:pPr>
              <w:pStyle w:val="Contenudetableau"/>
              <w:widowControl w:val="false"/>
              <w:jc w:val="center"/>
              <w:rPr>
                <w:sz w:val="16"/>
                <w:szCs w:val="16"/>
              </w:rPr>
            </w:pPr>
            <w:r>
              <w:rPr>
                <w:sz w:val="16"/>
                <w:szCs w:val="16"/>
              </w:rPr>
              <w:t>12</w:t>
            </w:r>
          </w:p>
        </w:tc>
        <w:tc>
          <w:tcPr>
            <w:tcW w:w="208" w:type="dxa"/>
            <w:tcBorders/>
          </w:tcPr>
          <w:p>
            <w:pPr>
              <w:pStyle w:val="Contenudetableau"/>
              <w:widowControl w:val="false"/>
              <w:jc w:val="center"/>
              <w:rPr>
                <w:sz w:val="16"/>
                <w:szCs w:val="16"/>
              </w:rPr>
            </w:pPr>
            <w:r>
              <w:rPr>
                <w:sz w:val="16"/>
                <w:szCs w:val="16"/>
              </w:rPr>
            </w:r>
          </w:p>
        </w:tc>
        <w:tc>
          <w:tcPr>
            <w:tcW w:w="244" w:type="dxa"/>
            <w:tcBorders/>
          </w:tcPr>
          <w:p>
            <w:pPr>
              <w:pStyle w:val="Contenudetableau"/>
              <w:widowControl w:val="false"/>
              <w:jc w:val="center"/>
              <w:rPr>
                <w:sz w:val="16"/>
                <w:szCs w:val="16"/>
              </w:rPr>
            </w:pPr>
            <w:r>
              <w:rPr>
                <w:sz w:val="16"/>
                <w:szCs w:val="16"/>
              </w:rPr>
            </w:r>
          </w:p>
        </w:tc>
        <w:tc>
          <w:tcPr>
            <w:tcW w:w="454" w:type="dxa"/>
            <w:tcBorders/>
          </w:tcPr>
          <w:p>
            <w:pPr>
              <w:pStyle w:val="Contenudetableau"/>
              <w:widowControl w:val="false"/>
              <w:jc w:val="center"/>
              <w:rPr>
                <w:sz w:val="16"/>
                <w:szCs w:val="16"/>
              </w:rPr>
            </w:pPr>
            <w:r>
              <w:rPr>
                <w:sz w:val="16"/>
                <w:szCs w:val="16"/>
              </w:rPr>
              <w:t xml:space="preserve">  </w:t>
            </w:r>
            <w:r>
              <w:rPr>
                <w:sz w:val="16"/>
                <w:szCs w:val="16"/>
              </w:rPr>
              <w:t>180</w:t>
            </w:r>
          </w:p>
        </w:tc>
        <w:tc>
          <w:tcPr>
            <w:tcW w:w="811" w:type="dxa"/>
            <w:tcBorders/>
          </w:tcPr>
          <w:p>
            <w:pPr>
              <w:pStyle w:val="Contenudetableau"/>
              <w:widowControl w:val="false"/>
              <w:jc w:val="center"/>
              <w:rPr>
                <w:sz w:val="16"/>
                <w:szCs w:val="16"/>
              </w:rPr>
            </w:pPr>
            <w:r>
              <w:rPr>
                <w:sz w:val="16"/>
                <w:szCs w:val="16"/>
              </w:rPr>
              <w:t xml:space="preserve">        </w:t>
            </w:r>
            <w:r>
              <w:rPr>
                <w:sz w:val="16"/>
                <w:szCs w:val="16"/>
              </w:rPr>
              <w:t>12</w:t>
            </w:r>
          </w:p>
        </w:tc>
        <w:tc>
          <w:tcPr>
            <w:tcW w:w="888" w:type="dxa"/>
            <w:tcBorders/>
          </w:tcPr>
          <w:p>
            <w:pPr>
              <w:pStyle w:val="Contenudetableau"/>
              <w:widowControl w:val="false"/>
              <w:jc w:val="center"/>
              <w:rPr>
                <w:sz w:val="16"/>
                <w:szCs w:val="16"/>
              </w:rPr>
            </w:pPr>
            <w:r>
              <w:rPr>
                <w:sz w:val="16"/>
                <w:szCs w:val="16"/>
              </w:rPr>
              <w:t>6</w:t>
            </w:r>
          </w:p>
        </w:tc>
      </w:tr>
    </w:tbl>
    <w:p>
      <w:pPr>
        <w:pStyle w:val="Normal"/>
        <w:jc w:val="right"/>
        <w:rPr>
          <w:rFonts w:ascii="Times New Roman" w:hAnsi="Times New Roman"/>
          <w:sz w:val="22"/>
          <w:szCs w:val="22"/>
        </w:rPr>
      </w:pPr>
      <w:r>
        <w:rPr>
          <w:rFonts w:ascii="Times New Roman" w:hAnsi="Times New Roman"/>
          <w:sz w:val="22"/>
          <w:szCs w:val="22"/>
        </w:rPr>
        <w:t xml:space="preserve">                                                           </w:t>
      </w:r>
    </w:p>
    <w:p>
      <w:pPr>
        <w:pStyle w:val="Normal"/>
        <w:jc w:val="both"/>
        <w:rPr>
          <w:rFonts w:ascii="Times New Roman" w:hAnsi="Times New Roman"/>
          <w:sz w:val="22"/>
          <w:szCs w:val="22"/>
        </w:rPr>
      </w:pPr>
      <w:r>
        <w:rPr>
          <w:rFonts w:ascii="Times New Roman" w:hAnsi="Times New Roman"/>
          <w:sz w:val="22"/>
          <w:szCs w:val="22"/>
        </w:rPr>
        <w:tab/>
        <w:t>La réalité : certains élèves n’ont pas de notes. Tout se passe conformément au fait que tous les élèves présents ont obtenus la note de 12/20.</w:t>
      </w:r>
    </w:p>
    <w:p>
      <w:pPr>
        <w:pStyle w:val="Normal"/>
        <w:jc w:val="both"/>
        <w:rPr/>
      </w:pPr>
      <w:r>
        <w:rPr/>
        <w:t xml:space="preserve">                                                                                                     </w:t>
      </w:r>
    </w:p>
    <w:tbl>
      <w:tblPr>
        <w:tblW w:w="9190" w:type="dxa"/>
        <w:jc w:val="center"/>
        <w:tblInd w:w="0" w:type="dxa"/>
        <w:tblLayout w:type="fixed"/>
        <w:tblCellMar>
          <w:top w:w="0" w:type="dxa"/>
          <w:left w:w="0" w:type="dxa"/>
          <w:bottom w:w="0" w:type="dxa"/>
          <w:right w:w="0" w:type="dxa"/>
        </w:tblCellMar>
        <w:tblLook w:val="04a0" w:noHBand="0" w:noVBand="1" w:firstColumn="1" w:lastRow="0" w:lastColumn="0" w:firstRow="1"/>
      </w:tblPr>
      <w:tblGrid>
        <w:gridCol w:w="802"/>
        <w:gridCol w:w="228"/>
        <w:gridCol w:w="186"/>
        <w:gridCol w:w="188"/>
        <w:gridCol w:w="186"/>
        <w:gridCol w:w="188"/>
        <w:gridCol w:w="230"/>
        <w:gridCol w:w="184"/>
        <w:gridCol w:w="190"/>
        <w:gridCol w:w="148"/>
        <w:gridCol w:w="389"/>
        <w:gridCol w:w="189"/>
        <w:gridCol w:w="185"/>
        <w:gridCol w:w="190"/>
        <w:gridCol w:w="193"/>
        <w:gridCol w:w="261"/>
        <w:gridCol w:w="238"/>
        <w:gridCol w:w="181"/>
        <w:gridCol w:w="278"/>
        <w:gridCol w:w="188"/>
        <w:gridCol w:w="187"/>
        <w:gridCol w:w="229"/>
        <w:gridCol w:w="187"/>
        <w:gridCol w:w="188"/>
        <w:gridCol w:w="187"/>
        <w:gridCol w:w="228"/>
        <w:gridCol w:w="229"/>
        <w:gridCol w:w="273"/>
        <w:gridCol w:w="228"/>
        <w:gridCol w:w="190"/>
        <w:gridCol w:w="187"/>
        <w:gridCol w:w="363"/>
        <w:gridCol w:w="859"/>
        <w:gridCol w:w="830"/>
      </w:tblGrid>
      <w:tr>
        <w:trPr/>
        <w:tc>
          <w:tcPr>
            <w:tcW w:w="802" w:type="dxa"/>
            <w:tcBorders/>
          </w:tcPr>
          <w:p>
            <w:pPr>
              <w:pStyle w:val="Contenudetableau"/>
              <w:widowControl w:val="false"/>
              <w:jc w:val="center"/>
              <w:rPr/>
            </w:pPr>
            <w:r>
              <w:rPr>
                <w:sz w:val="16"/>
                <w:szCs w:val="16"/>
              </w:rPr>
              <w:t xml:space="preserve"> </w:t>
            </w:r>
            <w:r>
              <w:rPr>
                <w:sz w:val="16"/>
                <w:szCs w:val="16"/>
              </w:rPr>
              <w:t>Élève</w:t>
            </w:r>
          </w:p>
        </w:tc>
        <w:tc>
          <w:tcPr>
            <w:tcW w:w="228" w:type="dxa"/>
            <w:tcBorders/>
          </w:tcPr>
          <w:p>
            <w:pPr>
              <w:pStyle w:val="Contenudetableau"/>
              <w:widowControl w:val="false"/>
              <w:jc w:val="center"/>
              <w:rPr>
                <w:sz w:val="16"/>
                <w:szCs w:val="16"/>
              </w:rPr>
            </w:pPr>
            <w:r>
              <w:rPr>
                <w:sz w:val="16"/>
                <w:szCs w:val="16"/>
              </w:rPr>
              <w:t>1</w:t>
            </w:r>
          </w:p>
        </w:tc>
        <w:tc>
          <w:tcPr>
            <w:tcW w:w="186" w:type="dxa"/>
            <w:tcBorders/>
          </w:tcPr>
          <w:p>
            <w:pPr>
              <w:pStyle w:val="Contenudetableau"/>
              <w:widowControl w:val="false"/>
              <w:jc w:val="center"/>
              <w:rPr>
                <w:sz w:val="16"/>
                <w:szCs w:val="16"/>
              </w:rPr>
            </w:pPr>
            <w:r>
              <w:rPr>
                <w:sz w:val="16"/>
                <w:szCs w:val="16"/>
              </w:rPr>
              <w:t>2</w:t>
            </w:r>
          </w:p>
        </w:tc>
        <w:tc>
          <w:tcPr>
            <w:tcW w:w="188" w:type="dxa"/>
            <w:tcBorders/>
          </w:tcPr>
          <w:p>
            <w:pPr>
              <w:pStyle w:val="Contenudetableau"/>
              <w:widowControl w:val="false"/>
              <w:jc w:val="center"/>
              <w:rPr>
                <w:sz w:val="16"/>
                <w:szCs w:val="16"/>
              </w:rPr>
            </w:pPr>
            <w:r>
              <w:rPr>
                <w:sz w:val="16"/>
                <w:szCs w:val="16"/>
              </w:rPr>
              <w:t>3</w:t>
            </w:r>
          </w:p>
        </w:tc>
        <w:tc>
          <w:tcPr>
            <w:tcW w:w="186" w:type="dxa"/>
            <w:tcBorders/>
          </w:tcPr>
          <w:p>
            <w:pPr>
              <w:pStyle w:val="Contenudetableau"/>
              <w:widowControl w:val="false"/>
              <w:jc w:val="center"/>
              <w:rPr>
                <w:sz w:val="16"/>
                <w:szCs w:val="16"/>
              </w:rPr>
            </w:pPr>
            <w:r>
              <w:rPr>
                <w:sz w:val="16"/>
                <w:szCs w:val="16"/>
              </w:rPr>
              <w:t>4</w:t>
            </w:r>
          </w:p>
        </w:tc>
        <w:tc>
          <w:tcPr>
            <w:tcW w:w="188" w:type="dxa"/>
            <w:tcBorders/>
          </w:tcPr>
          <w:p>
            <w:pPr>
              <w:pStyle w:val="Contenudetableau"/>
              <w:widowControl w:val="false"/>
              <w:jc w:val="center"/>
              <w:rPr>
                <w:sz w:val="16"/>
                <w:szCs w:val="16"/>
              </w:rPr>
            </w:pPr>
            <w:r>
              <w:rPr>
                <w:sz w:val="16"/>
                <w:szCs w:val="16"/>
              </w:rPr>
              <w:t>5</w:t>
            </w:r>
          </w:p>
        </w:tc>
        <w:tc>
          <w:tcPr>
            <w:tcW w:w="230" w:type="dxa"/>
            <w:tcBorders/>
          </w:tcPr>
          <w:p>
            <w:pPr>
              <w:pStyle w:val="Contenudetableau"/>
              <w:widowControl w:val="false"/>
              <w:jc w:val="center"/>
              <w:rPr>
                <w:sz w:val="16"/>
                <w:szCs w:val="16"/>
              </w:rPr>
            </w:pPr>
            <w:r>
              <w:rPr>
                <w:sz w:val="16"/>
                <w:szCs w:val="16"/>
              </w:rPr>
              <w:t xml:space="preserve"> </w:t>
            </w:r>
            <w:r>
              <w:rPr>
                <w:sz w:val="16"/>
                <w:szCs w:val="16"/>
              </w:rPr>
              <w:t xml:space="preserve">6  </w:t>
            </w:r>
          </w:p>
        </w:tc>
        <w:tc>
          <w:tcPr>
            <w:tcW w:w="184" w:type="dxa"/>
            <w:tcBorders/>
          </w:tcPr>
          <w:p>
            <w:pPr>
              <w:pStyle w:val="Contenudetableau"/>
              <w:widowControl w:val="false"/>
              <w:jc w:val="center"/>
              <w:rPr>
                <w:sz w:val="16"/>
                <w:szCs w:val="16"/>
              </w:rPr>
            </w:pPr>
            <w:r>
              <w:rPr>
                <w:sz w:val="16"/>
                <w:szCs w:val="16"/>
              </w:rPr>
              <w:t>7</w:t>
            </w:r>
          </w:p>
        </w:tc>
        <w:tc>
          <w:tcPr>
            <w:tcW w:w="190" w:type="dxa"/>
            <w:tcBorders/>
          </w:tcPr>
          <w:p>
            <w:pPr>
              <w:pStyle w:val="Contenudetableau"/>
              <w:widowControl w:val="false"/>
              <w:jc w:val="center"/>
              <w:rPr>
                <w:sz w:val="16"/>
                <w:szCs w:val="16"/>
              </w:rPr>
            </w:pPr>
            <w:r>
              <w:rPr>
                <w:sz w:val="16"/>
                <w:szCs w:val="16"/>
              </w:rPr>
              <w:t>8</w:t>
            </w:r>
          </w:p>
        </w:tc>
        <w:tc>
          <w:tcPr>
            <w:tcW w:w="148" w:type="dxa"/>
            <w:tcBorders/>
          </w:tcPr>
          <w:p>
            <w:pPr>
              <w:pStyle w:val="Contenudetableau"/>
              <w:widowControl w:val="false"/>
              <w:jc w:val="center"/>
              <w:rPr>
                <w:sz w:val="16"/>
                <w:szCs w:val="16"/>
              </w:rPr>
            </w:pPr>
            <w:r>
              <w:rPr>
                <w:sz w:val="16"/>
                <w:szCs w:val="16"/>
              </w:rPr>
              <w:t>9</w:t>
            </w:r>
          </w:p>
        </w:tc>
        <w:tc>
          <w:tcPr>
            <w:tcW w:w="389" w:type="dxa"/>
            <w:tcBorders/>
          </w:tcPr>
          <w:p>
            <w:pPr>
              <w:pStyle w:val="Contenudetableau"/>
              <w:widowControl w:val="false"/>
              <w:jc w:val="center"/>
              <w:rPr>
                <w:sz w:val="16"/>
                <w:szCs w:val="16"/>
              </w:rPr>
            </w:pPr>
            <w:r>
              <w:rPr>
                <w:sz w:val="16"/>
                <w:szCs w:val="16"/>
              </w:rPr>
              <w:t xml:space="preserve"> </w:t>
            </w:r>
            <w:r>
              <w:rPr>
                <w:sz w:val="16"/>
                <w:szCs w:val="16"/>
              </w:rPr>
              <w:t xml:space="preserve">10    </w:t>
            </w:r>
          </w:p>
        </w:tc>
        <w:tc>
          <w:tcPr>
            <w:tcW w:w="189" w:type="dxa"/>
            <w:tcBorders/>
          </w:tcPr>
          <w:p>
            <w:pPr>
              <w:pStyle w:val="Contenudetableau"/>
              <w:widowControl w:val="false"/>
              <w:jc w:val="center"/>
              <w:rPr>
                <w:sz w:val="16"/>
                <w:szCs w:val="16"/>
              </w:rPr>
            </w:pPr>
            <w:r>
              <w:rPr>
                <w:sz w:val="16"/>
                <w:szCs w:val="16"/>
              </w:rPr>
              <w:t>11</w:t>
            </w:r>
          </w:p>
        </w:tc>
        <w:tc>
          <w:tcPr>
            <w:tcW w:w="185" w:type="dxa"/>
            <w:tcBorders/>
          </w:tcPr>
          <w:p>
            <w:pPr>
              <w:pStyle w:val="Contenudetableau"/>
              <w:widowControl w:val="false"/>
              <w:jc w:val="center"/>
              <w:rPr>
                <w:sz w:val="16"/>
                <w:szCs w:val="16"/>
              </w:rPr>
            </w:pPr>
            <w:r>
              <w:rPr>
                <w:sz w:val="16"/>
                <w:szCs w:val="16"/>
              </w:rPr>
              <w:t>12</w:t>
            </w:r>
          </w:p>
        </w:tc>
        <w:tc>
          <w:tcPr>
            <w:tcW w:w="190" w:type="dxa"/>
            <w:tcBorders/>
          </w:tcPr>
          <w:p>
            <w:pPr>
              <w:pStyle w:val="Contenudetableau"/>
              <w:widowControl w:val="false"/>
              <w:jc w:val="center"/>
              <w:rPr>
                <w:sz w:val="16"/>
                <w:szCs w:val="16"/>
              </w:rPr>
            </w:pPr>
            <w:r>
              <w:rPr>
                <w:sz w:val="16"/>
                <w:szCs w:val="16"/>
              </w:rPr>
              <w:t>13</w:t>
            </w:r>
          </w:p>
        </w:tc>
        <w:tc>
          <w:tcPr>
            <w:tcW w:w="193" w:type="dxa"/>
            <w:tcBorders/>
          </w:tcPr>
          <w:p>
            <w:pPr>
              <w:pStyle w:val="Contenudetableau"/>
              <w:widowControl w:val="false"/>
              <w:jc w:val="center"/>
              <w:rPr>
                <w:sz w:val="16"/>
                <w:szCs w:val="16"/>
              </w:rPr>
            </w:pPr>
            <w:r>
              <w:rPr>
                <w:sz w:val="16"/>
                <w:szCs w:val="16"/>
              </w:rPr>
              <w:t>14</w:t>
            </w:r>
          </w:p>
        </w:tc>
        <w:tc>
          <w:tcPr>
            <w:tcW w:w="261" w:type="dxa"/>
            <w:tcBorders/>
          </w:tcPr>
          <w:p>
            <w:pPr>
              <w:pStyle w:val="Contenudetableau"/>
              <w:widowControl w:val="false"/>
              <w:jc w:val="center"/>
              <w:rPr>
                <w:sz w:val="16"/>
                <w:szCs w:val="16"/>
              </w:rPr>
            </w:pPr>
            <w:r>
              <w:rPr>
                <w:sz w:val="16"/>
                <w:szCs w:val="16"/>
              </w:rPr>
              <w:t xml:space="preserve"> </w:t>
            </w:r>
            <w:r>
              <w:rPr>
                <w:sz w:val="16"/>
                <w:szCs w:val="16"/>
              </w:rPr>
              <w:t>15</w:t>
            </w:r>
          </w:p>
        </w:tc>
        <w:tc>
          <w:tcPr>
            <w:tcW w:w="238" w:type="dxa"/>
            <w:tcBorders/>
          </w:tcPr>
          <w:p>
            <w:pPr>
              <w:pStyle w:val="Contenudetableau"/>
              <w:widowControl w:val="false"/>
              <w:jc w:val="center"/>
              <w:rPr>
                <w:sz w:val="16"/>
                <w:szCs w:val="16"/>
              </w:rPr>
            </w:pPr>
            <w:r>
              <w:rPr>
                <w:sz w:val="16"/>
                <w:szCs w:val="16"/>
              </w:rPr>
              <w:t>16</w:t>
            </w:r>
          </w:p>
        </w:tc>
        <w:tc>
          <w:tcPr>
            <w:tcW w:w="181" w:type="dxa"/>
            <w:tcBorders/>
          </w:tcPr>
          <w:p>
            <w:pPr>
              <w:pStyle w:val="Contenudetableau"/>
              <w:widowControl w:val="false"/>
              <w:jc w:val="center"/>
              <w:rPr>
                <w:sz w:val="16"/>
                <w:szCs w:val="16"/>
              </w:rPr>
            </w:pPr>
            <w:r>
              <w:rPr>
                <w:sz w:val="16"/>
                <w:szCs w:val="16"/>
              </w:rPr>
              <w:t>17</w:t>
            </w:r>
          </w:p>
        </w:tc>
        <w:tc>
          <w:tcPr>
            <w:tcW w:w="278" w:type="dxa"/>
            <w:tcBorders/>
          </w:tcPr>
          <w:p>
            <w:pPr>
              <w:pStyle w:val="Contenudetableau"/>
              <w:widowControl w:val="false"/>
              <w:jc w:val="center"/>
              <w:rPr>
                <w:sz w:val="16"/>
                <w:szCs w:val="16"/>
              </w:rPr>
            </w:pPr>
            <w:r>
              <w:rPr>
                <w:sz w:val="16"/>
                <w:szCs w:val="16"/>
              </w:rPr>
              <w:t xml:space="preserve"> </w:t>
            </w:r>
            <w:r>
              <w:rPr>
                <w:sz w:val="16"/>
                <w:szCs w:val="16"/>
              </w:rPr>
              <w:t>18</w:t>
            </w:r>
          </w:p>
        </w:tc>
        <w:tc>
          <w:tcPr>
            <w:tcW w:w="188" w:type="dxa"/>
            <w:tcBorders/>
          </w:tcPr>
          <w:p>
            <w:pPr>
              <w:pStyle w:val="Contenudetableau"/>
              <w:widowControl w:val="false"/>
              <w:jc w:val="center"/>
              <w:rPr>
                <w:sz w:val="16"/>
                <w:szCs w:val="16"/>
              </w:rPr>
            </w:pPr>
            <w:r>
              <w:rPr>
                <w:sz w:val="16"/>
                <w:szCs w:val="16"/>
              </w:rPr>
              <w:t>19</w:t>
            </w:r>
          </w:p>
        </w:tc>
        <w:tc>
          <w:tcPr>
            <w:tcW w:w="187" w:type="dxa"/>
            <w:tcBorders/>
          </w:tcPr>
          <w:p>
            <w:pPr>
              <w:pStyle w:val="Contenudetableau"/>
              <w:widowControl w:val="false"/>
              <w:jc w:val="center"/>
              <w:rPr>
                <w:sz w:val="16"/>
                <w:szCs w:val="16"/>
              </w:rPr>
            </w:pPr>
            <w:r>
              <w:rPr>
                <w:sz w:val="16"/>
                <w:szCs w:val="16"/>
              </w:rPr>
              <w:t>20</w:t>
            </w:r>
          </w:p>
        </w:tc>
        <w:tc>
          <w:tcPr>
            <w:tcW w:w="229" w:type="dxa"/>
            <w:tcBorders/>
          </w:tcPr>
          <w:p>
            <w:pPr>
              <w:pStyle w:val="Contenudetableau"/>
              <w:widowControl w:val="false"/>
              <w:jc w:val="center"/>
              <w:rPr>
                <w:sz w:val="16"/>
                <w:szCs w:val="16"/>
              </w:rPr>
            </w:pPr>
            <w:r>
              <w:rPr>
                <w:sz w:val="16"/>
                <w:szCs w:val="16"/>
              </w:rPr>
              <w:t xml:space="preserve"> </w:t>
            </w:r>
            <w:r>
              <w:rPr>
                <w:sz w:val="16"/>
                <w:szCs w:val="16"/>
              </w:rPr>
              <w:t>21</w:t>
            </w:r>
          </w:p>
        </w:tc>
        <w:tc>
          <w:tcPr>
            <w:tcW w:w="187" w:type="dxa"/>
            <w:tcBorders/>
          </w:tcPr>
          <w:p>
            <w:pPr>
              <w:pStyle w:val="Contenudetableau"/>
              <w:widowControl w:val="false"/>
              <w:jc w:val="center"/>
              <w:rPr>
                <w:sz w:val="16"/>
                <w:szCs w:val="16"/>
              </w:rPr>
            </w:pPr>
            <w:r>
              <w:rPr>
                <w:sz w:val="16"/>
                <w:szCs w:val="16"/>
              </w:rPr>
              <w:t>22</w:t>
            </w:r>
          </w:p>
        </w:tc>
        <w:tc>
          <w:tcPr>
            <w:tcW w:w="188" w:type="dxa"/>
            <w:tcBorders/>
          </w:tcPr>
          <w:p>
            <w:pPr>
              <w:pStyle w:val="Contenudetableau"/>
              <w:widowControl w:val="false"/>
              <w:jc w:val="center"/>
              <w:rPr>
                <w:sz w:val="16"/>
                <w:szCs w:val="16"/>
              </w:rPr>
            </w:pPr>
            <w:r>
              <w:rPr>
                <w:sz w:val="16"/>
                <w:szCs w:val="16"/>
              </w:rPr>
              <w:t>23</w:t>
            </w:r>
          </w:p>
        </w:tc>
        <w:tc>
          <w:tcPr>
            <w:tcW w:w="187" w:type="dxa"/>
            <w:tcBorders/>
          </w:tcPr>
          <w:p>
            <w:pPr>
              <w:pStyle w:val="Contenudetableau"/>
              <w:widowControl w:val="false"/>
              <w:jc w:val="center"/>
              <w:rPr>
                <w:sz w:val="16"/>
                <w:szCs w:val="16"/>
              </w:rPr>
            </w:pPr>
            <w:r>
              <w:rPr>
                <w:sz w:val="16"/>
                <w:szCs w:val="16"/>
              </w:rPr>
              <w:t>24</w:t>
            </w:r>
          </w:p>
        </w:tc>
        <w:tc>
          <w:tcPr>
            <w:tcW w:w="228" w:type="dxa"/>
            <w:tcBorders/>
          </w:tcPr>
          <w:p>
            <w:pPr>
              <w:pStyle w:val="Contenudetableau"/>
              <w:widowControl w:val="false"/>
              <w:jc w:val="center"/>
              <w:rPr>
                <w:sz w:val="16"/>
                <w:szCs w:val="16"/>
              </w:rPr>
            </w:pPr>
            <w:r>
              <w:rPr>
                <w:sz w:val="16"/>
                <w:szCs w:val="16"/>
              </w:rPr>
              <w:t xml:space="preserve"> </w:t>
            </w:r>
            <w:r>
              <w:rPr>
                <w:sz w:val="16"/>
                <w:szCs w:val="16"/>
              </w:rPr>
              <w:t>25</w:t>
            </w:r>
          </w:p>
        </w:tc>
        <w:tc>
          <w:tcPr>
            <w:tcW w:w="229" w:type="dxa"/>
            <w:tcBorders/>
          </w:tcPr>
          <w:p>
            <w:pPr>
              <w:pStyle w:val="Contenudetableau"/>
              <w:widowControl w:val="false"/>
              <w:jc w:val="center"/>
              <w:rPr>
                <w:sz w:val="16"/>
                <w:szCs w:val="16"/>
              </w:rPr>
            </w:pPr>
            <w:r>
              <w:rPr>
                <w:sz w:val="16"/>
                <w:szCs w:val="16"/>
              </w:rPr>
              <w:t xml:space="preserve"> </w:t>
            </w:r>
            <w:r>
              <w:rPr>
                <w:sz w:val="16"/>
                <w:szCs w:val="16"/>
              </w:rPr>
              <w:t>26</w:t>
            </w:r>
          </w:p>
        </w:tc>
        <w:tc>
          <w:tcPr>
            <w:tcW w:w="273" w:type="dxa"/>
            <w:tcBorders/>
          </w:tcPr>
          <w:p>
            <w:pPr>
              <w:pStyle w:val="Contenudetableau"/>
              <w:widowControl w:val="false"/>
              <w:jc w:val="center"/>
              <w:rPr>
                <w:sz w:val="16"/>
                <w:szCs w:val="16"/>
              </w:rPr>
            </w:pPr>
            <w:r>
              <w:rPr>
                <w:sz w:val="16"/>
                <w:szCs w:val="16"/>
              </w:rPr>
              <w:t>27</w:t>
            </w:r>
          </w:p>
        </w:tc>
        <w:tc>
          <w:tcPr>
            <w:tcW w:w="228" w:type="dxa"/>
            <w:tcBorders/>
          </w:tcPr>
          <w:p>
            <w:pPr>
              <w:pStyle w:val="Contenudetableau"/>
              <w:widowControl w:val="false"/>
              <w:jc w:val="center"/>
              <w:rPr>
                <w:sz w:val="16"/>
                <w:szCs w:val="16"/>
              </w:rPr>
            </w:pPr>
            <w:r>
              <w:rPr>
                <w:sz w:val="16"/>
                <w:szCs w:val="16"/>
              </w:rPr>
              <w:t>28</w:t>
            </w:r>
          </w:p>
        </w:tc>
        <w:tc>
          <w:tcPr>
            <w:tcW w:w="190" w:type="dxa"/>
            <w:tcBorders/>
          </w:tcPr>
          <w:p>
            <w:pPr>
              <w:pStyle w:val="Contenudetableau"/>
              <w:widowControl w:val="false"/>
              <w:jc w:val="center"/>
              <w:rPr>
                <w:sz w:val="16"/>
                <w:szCs w:val="16"/>
              </w:rPr>
            </w:pPr>
            <w:r>
              <w:rPr>
                <w:sz w:val="16"/>
                <w:szCs w:val="16"/>
              </w:rPr>
              <w:t>29</w:t>
            </w:r>
          </w:p>
        </w:tc>
        <w:tc>
          <w:tcPr>
            <w:tcW w:w="187" w:type="dxa"/>
            <w:tcBorders/>
          </w:tcPr>
          <w:p>
            <w:pPr>
              <w:pStyle w:val="Contenudetableau"/>
              <w:widowControl w:val="false"/>
              <w:jc w:val="center"/>
              <w:rPr>
                <w:sz w:val="16"/>
                <w:szCs w:val="16"/>
              </w:rPr>
            </w:pPr>
            <w:r>
              <w:rPr>
                <w:sz w:val="16"/>
                <w:szCs w:val="16"/>
              </w:rPr>
              <w:t>30</w:t>
            </w:r>
          </w:p>
        </w:tc>
        <w:tc>
          <w:tcPr>
            <w:tcW w:w="363" w:type="dxa"/>
            <w:tcBorders/>
          </w:tcPr>
          <w:p>
            <w:pPr>
              <w:pStyle w:val="Contenudetableau"/>
              <w:widowControl w:val="false"/>
              <w:jc w:val="center"/>
              <w:rPr>
                <w:sz w:val="16"/>
                <w:szCs w:val="16"/>
              </w:rPr>
            </w:pPr>
            <w:r>
              <w:rPr>
                <w:sz w:val="16"/>
                <w:szCs w:val="16"/>
              </w:rPr>
              <w:t>Total</w:t>
            </w:r>
          </w:p>
        </w:tc>
        <w:tc>
          <w:tcPr>
            <w:tcW w:w="859" w:type="dxa"/>
            <w:tcBorders/>
          </w:tcPr>
          <w:p>
            <w:pPr>
              <w:pStyle w:val="Contenudetableau"/>
              <w:widowControl w:val="false"/>
              <w:jc w:val="center"/>
              <w:rPr>
                <w:sz w:val="16"/>
                <w:szCs w:val="16"/>
              </w:rPr>
            </w:pPr>
            <w:r>
              <w:rPr>
                <w:sz w:val="16"/>
                <w:szCs w:val="16"/>
              </w:rPr>
              <w:t>Moyenne/15</w:t>
            </w:r>
          </w:p>
        </w:tc>
        <w:tc>
          <w:tcPr>
            <w:tcW w:w="830" w:type="dxa"/>
            <w:tcBorders/>
          </w:tcPr>
          <w:p>
            <w:pPr>
              <w:pStyle w:val="Contenudetableau"/>
              <w:widowControl w:val="false"/>
              <w:jc w:val="center"/>
              <w:rPr>
                <w:sz w:val="16"/>
                <w:szCs w:val="16"/>
              </w:rPr>
            </w:pPr>
            <w:r>
              <w:rPr>
                <w:sz w:val="16"/>
                <w:szCs w:val="16"/>
              </w:rPr>
              <w:t>Moyenne/30</w:t>
            </w:r>
          </w:p>
        </w:tc>
      </w:tr>
      <w:tr>
        <w:trPr/>
        <w:tc>
          <w:tcPr>
            <w:tcW w:w="802" w:type="dxa"/>
            <w:tcBorders/>
          </w:tcPr>
          <w:p>
            <w:pPr>
              <w:pStyle w:val="Contenudetableau"/>
              <w:widowControl w:val="false"/>
              <w:jc w:val="center"/>
              <w:rPr>
                <w:sz w:val="16"/>
                <w:szCs w:val="16"/>
              </w:rPr>
            </w:pPr>
            <w:r>
              <w:rPr>
                <w:sz w:val="16"/>
                <w:szCs w:val="16"/>
              </w:rPr>
              <w:t xml:space="preserve"> </w:t>
            </w:r>
            <w:r>
              <w:rPr>
                <w:sz w:val="16"/>
                <w:szCs w:val="16"/>
              </w:rPr>
              <w:t>Note</w:t>
            </w:r>
          </w:p>
        </w:tc>
        <w:tc>
          <w:tcPr>
            <w:tcW w:w="228" w:type="dxa"/>
            <w:tcBorders/>
          </w:tcPr>
          <w:p>
            <w:pPr>
              <w:pStyle w:val="Contenudetableau"/>
              <w:widowControl w:val="false"/>
              <w:jc w:val="center"/>
              <w:rPr/>
            </w:pPr>
            <w:r>
              <w:rPr>
                <w:sz w:val="16"/>
                <w:szCs w:val="16"/>
              </w:rPr>
              <w:t xml:space="preserve"> </w:t>
            </w:r>
            <w:r>
              <w:rPr>
                <w:sz w:val="16"/>
                <w:szCs w:val="16"/>
              </w:rPr>
              <w:t>12</w:t>
            </w:r>
          </w:p>
        </w:tc>
        <w:tc>
          <w:tcPr>
            <w:tcW w:w="186" w:type="dxa"/>
            <w:tcBorders/>
          </w:tcPr>
          <w:p>
            <w:pPr>
              <w:pStyle w:val="Contenudetableau"/>
              <w:widowControl w:val="false"/>
              <w:jc w:val="center"/>
              <w:rPr>
                <w:sz w:val="16"/>
                <w:szCs w:val="16"/>
              </w:rPr>
            </w:pPr>
            <w:r>
              <w:rPr>
                <w:sz w:val="16"/>
                <w:szCs w:val="16"/>
              </w:rPr>
              <w:t xml:space="preserve">  </w:t>
            </w:r>
            <w:r>
              <w:rPr>
                <w:sz w:val="16"/>
                <w:szCs w:val="16"/>
              </w:rPr>
              <w:t>0</w:t>
            </w:r>
          </w:p>
        </w:tc>
        <w:tc>
          <w:tcPr>
            <w:tcW w:w="188" w:type="dxa"/>
            <w:tcBorders/>
          </w:tcPr>
          <w:p>
            <w:pPr>
              <w:pStyle w:val="Contenudetableau"/>
              <w:widowControl w:val="false"/>
              <w:jc w:val="center"/>
              <w:rPr/>
            </w:pPr>
            <w:r>
              <w:rPr>
                <w:sz w:val="16"/>
                <w:szCs w:val="16"/>
              </w:rPr>
              <w:t>12</w:t>
            </w:r>
          </w:p>
        </w:tc>
        <w:tc>
          <w:tcPr>
            <w:tcW w:w="186" w:type="dxa"/>
            <w:tcBorders/>
          </w:tcPr>
          <w:p>
            <w:pPr>
              <w:pStyle w:val="Contenudetableau"/>
              <w:widowControl w:val="false"/>
              <w:jc w:val="center"/>
              <w:rPr>
                <w:sz w:val="16"/>
                <w:szCs w:val="16"/>
              </w:rPr>
            </w:pPr>
            <w:r>
              <w:rPr>
                <w:sz w:val="16"/>
                <w:szCs w:val="16"/>
              </w:rPr>
              <w:t>12</w:t>
            </w:r>
          </w:p>
        </w:tc>
        <w:tc>
          <w:tcPr>
            <w:tcW w:w="188" w:type="dxa"/>
            <w:tcBorders/>
          </w:tcPr>
          <w:p>
            <w:pPr>
              <w:pStyle w:val="Contenudetableau"/>
              <w:widowControl w:val="false"/>
              <w:jc w:val="center"/>
              <w:rPr/>
            </w:pPr>
            <w:r>
              <w:rPr>
                <w:sz w:val="16"/>
                <w:szCs w:val="16"/>
              </w:rPr>
              <w:t>12</w:t>
            </w:r>
          </w:p>
        </w:tc>
        <w:tc>
          <w:tcPr>
            <w:tcW w:w="230" w:type="dxa"/>
            <w:tcBorders/>
          </w:tcPr>
          <w:p>
            <w:pPr>
              <w:pStyle w:val="Contenudetableau"/>
              <w:widowControl w:val="false"/>
              <w:jc w:val="center"/>
              <w:rPr>
                <w:sz w:val="16"/>
                <w:szCs w:val="16"/>
              </w:rPr>
            </w:pPr>
            <w:r>
              <w:rPr>
                <w:sz w:val="16"/>
                <w:szCs w:val="16"/>
              </w:rPr>
              <w:t xml:space="preserve"> </w:t>
            </w:r>
            <w:r>
              <w:rPr>
                <w:sz w:val="16"/>
                <w:szCs w:val="16"/>
              </w:rPr>
              <w:t>0</w:t>
            </w:r>
          </w:p>
        </w:tc>
        <w:tc>
          <w:tcPr>
            <w:tcW w:w="184" w:type="dxa"/>
            <w:tcBorders/>
          </w:tcPr>
          <w:p>
            <w:pPr>
              <w:pStyle w:val="Contenudetableau"/>
              <w:widowControl w:val="false"/>
              <w:jc w:val="center"/>
              <w:rPr>
                <w:sz w:val="16"/>
                <w:szCs w:val="16"/>
              </w:rPr>
            </w:pPr>
            <w:r>
              <w:rPr>
                <w:sz w:val="16"/>
                <w:szCs w:val="16"/>
              </w:rPr>
              <w:t>0</w:t>
            </w:r>
          </w:p>
        </w:tc>
        <w:tc>
          <w:tcPr>
            <w:tcW w:w="190" w:type="dxa"/>
            <w:tcBorders/>
          </w:tcPr>
          <w:p>
            <w:pPr>
              <w:pStyle w:val="Contenudetableau"/>
              <w:widowControl w:val="false"/>
              <w:jc w:val="center"/>
              <w:rPr>
                <w:sz w:val="16"/>
                <w:szCs w:val="16"/>
              </w:rPr>
            </w:pPr>
            <w:r>
              <w:rPr>
                <w:sz w:val="16"/>
                <w:szCs w:val="16"/>
              </w:rPr>
              <w:t>12</w:t>
            </w:r>
          </w:p>
        </w:tc>
        <w:tc>
          <w:tcPr>
            <w:tcW w:w="148" w:type="dxa"/>
            <w:tcBorders/>
          </w:tcPr>
          <w:p>
            <w:pPr>
              <w:pStyle w:val="Contenudetableau"/>
              <w:widowControl w:val="false"/>
              <w:jc w:val="center"/>
              <w:rPr>
                <w:sz w:val="16"/>
                <w:szCs w:val="16"/>
              </w:rPr>
            </w:pPr>
            <w:r>
              <w:rPr>
                <w:sz w:val="16"/>
                <w:szCs w:val="16"/>
              </w:rPr>
              <w:t>0</w:t>
            </w:r>
          </w:p>
        </w:tc>
        <w:tc>
          <w:tcPr>
            <w:tcW w:w="389" w:type="dxa"/>
            <w:tcBorders/>
          </w:tcPr>
          <w:p>
            <w:pPr>
              <w:pStyle w:val="Contenudetableau"/>
              <w:widowControl w:val="false"/>
              <w:jc w:val="center"/>
              <w:rPr/>
            </w:pPr>
            <w:r>
              <w:rPr>
                <w:sz w:val="16"/>
                <w:szCs w:val="16"/>
              </w:rPr>
              <w:t>12</w:t>
            </w:r>
          </w:p>
        </w:tc>
        <w:tc>
          <w:tcPr>
            <w:tcW w:w="189" w:type="dxa"/>
            <w:tcBorders/>
          </w:tcPr>
          <w:p>
            <w:pPr>
              <w:pStyle w:val="Contenudetableau"/>
              <w:widowControl w:val="false"/>
              <w:jc w:val="center"/>
              <w:rPr>
                <w:sz w:val="16"/>
                <w:szCs w:val="16"/>
              </w:rPr>
            </w:pPr>
            <w:r>
              <w:rPr>
                <w:sz w:val="16"/>
                <w:szCs w:val="16"/>
              </w:rPr>
              <w:t>0</w:t>
            </w:r>
          </w:p>
        </w:tc>
        <w:tc>
          <w:tcPr>
            <w:tcW w:w="185" w:type="dxa"/>
            <w:tcBorders/>
          </w:tcPr>
          <w:p>
            <w:pPr>
              <w:pStyle w:val="Contenudetableau"/>
              <w:widowControl w:val="false"/>
              <w:jc w:val="center"/>
              <w:rPr/>
            </w:pPr>
            <w:r>
              <w:rPr>
                <w:sz w:val="16"/>
                <w:szCs w:val="16"/>
              </w:rPr>
              <w:t>12</w:t>
            </w:r>
          </w:p>
        </w:tc>
        <w:tc>
          <w:tcPr>
            <w:tcW w:w="190" w:type="dxa"/>
            <w:tcBorders/>
          </w:tcPr>
          <w:p>
            <w:pPr>
              <w:pStyle w:val="Contenudetableau"/>
              <w:widowControl w:val="false"/>
              <w:jc w:val="center"/>
              <w:rPr>
                <w:sz w:val="16"/>
                <w:szCs w:val="16"/>
              </w:rPr>
            </w:pPr>
            <w:r>
              <w:rPr>
                <w:sz w:val="16"/>
                <w:szCs w:val="16"/>
              </w:rPr>
              <w:t xml:space="preserve">  </w:t>
            </w:r>
            <w:r>
              <w:rPr>
                <w:sz w:val="16"/>
                <w:szCs w:val="16"/>
              </w:rPr>
              <w:t>0</w:t>
            </w:r>
          </w:p>
        </w:tc>
        <w:tc>
          <w:tcPr>
            <w:tcW w:w="193" w:type="dxa"/>
            <w:tcBorders/>
          </w:tcPr>
          <w:p>
            <w:pPr>
              <w:pStyle w:val="Contenudetableau"/>
              <w:widowControl w:val="false"/>
              <w:jc w:val="center"/>
              <w:rPr/>
            </w:pPr>
            <w:r>
              <w:rPr>
                <w:sz w:val="16"/>
                <w:szCs w:val="16"/>
              </w:rPr>
              <w:t>12</w:t>
            </w:r>
          </w:p>
        </w:tc>
        <w:tc>
          <w:tcPr>
            <w:tcW w:w="261" w:type="dxa"/>
            <w:tcBorders/>
          </w:tcPr>
          <w:p>
            <w:pPr>
              <w:pStyle w:val="Contenudetableau"/>
              <w:widowControl w:val="false"/>
              <w:jc w:val="center"/>
              <w:rPr/>
            </w:pPr>
            <w:r>
              <w:rPr>
                <w:sz w:val="16"/>
                <w:szCs w:val="16"/>
              </w:rPr>
              <w:t xml:space="preserve">  </w:t>
            </w:r>
            <w:r>
              <w:rPr>
                <w:sz w:val="16"/>
                <w:szCs w:val="16"/>
              </w:rPr>
              <w:t>0</w:t>
            </w:r>
          </w:p>
        </w:tc>
        <w:tc>
          <w:tcPr>
            <w:tcW w:w="238" w:type="dxa"/>
            <w:tcBorders/>
          </w:tcPr>
          <w:p>
            <w:pPr>
              <w:pStyle w:val="Contenudetableau"/>
              <w:widowControl w:val="false"/>
              <w:jc w:val="center"/>
              <w:rPr/>
            </w:pPr>
            <w:r>
              <w:rPr>
                <w:sz w:val="16"/>
                <w:szCs w:val="16"/>
              </w:rPr>
              <w:t xml:space="preserve"> </w:t>
            </w:r>
            <w:r>
              <w:rPr>
                <w:sz w:val="16"/>
                <w:szCs w:val="16"/>
              </w:rPr>
              <w:t>12</w:t>
            </w:r>
          </w:p>
        </w:tc>
        <w:tc>
          <w:tcPr>
            <w:tcW w:w="181" w:type="dxa"/>
            <w:tcBorders/>
          </w:tcPr>
          <w:p>
            <w:pPr>
              <w:pStyle w:val="Contenudetableau"/>
              <w:widowControl w:val="false"/>
              <w:jc w:val="center"/>
              <w:rPr>
                <w:sz w:val="16"/>
                <w:szCs w:val="16"/>
              </w:rPr>
            </w:pPr>
            <w:r>
              <w:rPr>
                <w:sz w:val="16"/>
                <w:szCs w:val="16"/>
              </w:rPr>
              <w:t>0</w:t>
            </w:r>
          </w:p>
        </w:tc>
        <w:tc>
          <w:tcPr>
            <w:tcW w:w="278" w:type="dxa"/>
            <w:tcBorders/>
          </w:tcPr>
          <w:p>
            <w:pPr>
              <w:pStyle w:val="Contenudetableau"/>
              <w:widowControl w:val="false"/>
              <w:jc w:val="center"/>
              <w:rPr>
                <w:sz w:val="16"/>
                <w:szCs w:val="16"/>
              </w:rPr>
            </w:pPr>
            <w:r>
              <w:rPr>
                <w:sz w:val="16"/>
                <w:szCs w:val="16"/>
              </w:rPr>
              <w:t xml:space="preserve">   </w:t>
            </w:r>
            <w:r>
              <w:rPr>
                <w:sz w:val="16"/>
                <w:szCs w:val="16"/>
              </w:rPr>
              <w:t xml:space="preserve">0 </w:t>
            </w:r>
          </w:p>
        </w:tc>
        <w:tc>
          <w:tcPr>
            <w:tcW w:w="188" w:type="dxa"/>
            <w:tcBorders/>
          </w:tcPr>
          <w:p>
            <w:pPr>
              <w:pStyle w:val="Contenudetableau"/>
              <w:widowControl w:val="false"/>
              <w:jc w:val="center"/>
              <w:rPr/>
            </w:pPr>
            <w:r>
              <w:rPr>
                <w:sz w:val="16"/>
                <w:szCs w:val="16"/>
              </w:rPr>
              <w:t>12</w:t>
            </w:r>
          </w:p>
        </w:tc>
        <w:tc>
          <w:tcPr>
            <w:tcW w:w="187" w:type="dxa"/>
            <w:tcBorders/>
          </w:tcPr>
          <w:p>
            <w:pPr>
              <w:pStyle w:val="Contenudetableau"/>
              <w:widowControl w:val="false"/>
              <w:jc w:val="center"/>
              <w:rPr>
                <w:sz w:val="16"/>
                <w:szCs w:val="16"/>
              </w:rPr>
            </w:pPr>
            <w:r>
              <w:rPr>
                <w:sz w:val="16"/>
                <w:szCs w:val="16"/>
              </w:rPr>
              <w:t xml:space="preserve">  </w:t>
            </w:r>
            <w:r>
              <w:rPr>
                <w:sz w:val="16"/>
                <w:szCs w:val="16"/>
              </w:rPr>
              <w:t>0</w:t>
            </w:r>
          </w:p>
        </w:tc>
        <w:tc>
          <w:tcPr>
            <w:tcW w:w="229" w:type="dxa"/>
            <w:tcBorders/>
          </w:tcPr>
          <w:p>
            <w:pPr>
              <w:pStyle w:val="Contenudetableau"/>
              <w:widowControl w:val="false"/>
              <w:jc w:val="center"/>
              <w:rPr/>
            </w:pPr>
            <w:r>
              <w:rPr>
                <w:sz w:val="16"/>
                <w:szCs w:val="16"/>
              </w:rPr>
              <w:t xml:space="preserve"> </w:t>
            </w:r>
            <w:r>
              <w:rPr>
                <w:sz w:val="16"/>
                <w:szCs w:val="16"/>
              </w:rPr>
              <w:t>12</w:t>
            </w:r>
          </w:p>
        </w:tc>
        <w:tc>
          <w:tcPr>
            <w:tcW w:w="187" w:type="dxa"/>
            <w:tcBorders/>
          </w:tcPr>
          <w:p>
            <w:pPr>
              <w:pStyle w:val="Contenudetableau"/>
              <w:widowControl w:val="false"/>
              <w:jc w:val="center"/>
              <w:rPr>
                <w:sz w:val="16"/>
                <w:szCs w:val="16"/>
              </w:rPr>
            </w:pPr>
            <w:r>
              <w:rPr>
                <w:sz w:val="16"/>
                <w:szCs w:val="16"/>
              </w:rPr>
              <w:t>0</w:t>
            </w:r>
          </w:p>
        </w:tc>
        <w:tc>
          <w:tcPr>
            <w:tcW w:w="188" w:type="dxa"/>
            <w:tcBorders/>
          </w:tcPr>
          <w:p>
            <w:pPr>
              <w:pStyle w:val="Contenudetableau"/>
              <w:widowControl w:val="false"/>
              <w:jc w:val="center"/>
              <w:rPr/>
            </w:pPr>
            <w:r>
              <w:rPr>
                <w:sz w:val="16"/>
                <w:szCs w:val="16"/>
              </w:rPr>
              <w:t>12</w:t>
            </w:r>
          </w:p>
        </w:tc>
        <w:tc>
          <w:tcPr>
            <w:tcW w:w="187" w:type="dxa"/>
            <w:tcBorders/>
          </w:tcPr>
          <w:p>
            <w:pPr>
              <w:pStyle w:val="Contenudetableau"/>
              <w:widowControl w:val="false"/>
              <w:jc w:val="center"/>
              <w:rPr>
                <w:sz w:val="16"/>
                <w:szCs w:val="16"/>
              </w:rPr>
            </w:pPr>
            <w:r>
              <w:rPr>
                <w:sz w:val="16"/>
                <w:szCs w:val="16"/>
              </w:rPr>
              <w:t>0</w:t>
            </w:r>
          </w:p>
        </w:tc>
        <w:tc>
          <w:tcPr>
            <w:tcW w:w="228" w:type="dxa"/>
            <w:tcBorders/>
          </w:tcPr>
          <w:p>
            <w:pPr>
              <w:pStyle w:val="Contenudetableau"/>
              <w:widowControl w:val="false"/>
              <w:jc w:val="center"/>
              <w:rPr/>
            </w:pPr>
            <w:r>
              <w:rPr>
                <w:sz w:val="16"/>
                <w:szCs w:val="16"/>
              </w:rPr>
              <w:t>12</w:t>
            </w:r>
          </w:p>
        </w:tc>
        <w:tc>
          <w:tcPr>
            <w:tcW w:w="229" w:type="dxa"/>
            <w:tcBorders/>
          </w:tcPr>
          <w:p>
            <w:pPr>
              <w:pStyle w:val="Contenudetableau"/>
              <w:widowControl w:val="false"/>
              <w:jc w:val="center"/>
              <w:rPr>
                <w:sz w:val="16"/>
                <w:szCs w:val="16"/>
              </w:rPr>
            </w:pPr>
            <w:r>
              <w:rPr>
                <w:sz w:val="16"/>
                <w:szCs w:val="16"/>
              </w:rPr>
              <w:t xml:space="preserve">   </w:t>
            </w:r>
            <w:r>
              <w:rPr>
                <w:sz w:val="16"/>
                <w:szCs w:val="16"/>
              </w:rPr>
              <w:t>0</w:t>
            </w:r>
          </w:p>
        </w:tc>
        <w:tc>
          <w:tcPr>
            <w:tcW w:w="273" w:type="dxa"/>
            <w:tcBorders/>
          </w:tcPr>
          <w:p>
            <w:pPr>
              <w:pStyle w:val="Contenudetableau"/>
              <w:widowControl w:val="false"/>
              <w:jc w:val="center"/>
              <w:rPr/>
            </w:pPr>
            <w:r>
              <w:rPr>
                <w:sz w:val="16"/>
                <w:szCs w:val="16"/>
              </w:rPr>
              <w:t xml:space="preserve">  </w:t>
            </w:r>
            <w:r>
              <w:rPr>
                <w:sz w:val="16"/>
                <w:szCs w:val="16"/>
              </w:rPr>
              <w:t>12</w:t>
            </w:r>
          </w:p>
        </w:tc>
        <w:tc>
          <w:tcPr>
            <w:tcW w:w="228" w:type="dxa"/>
            <w:tcBorders/>
          </w:tcPr>
          <w:p>
            <w:pPr>
              <w:pStyle w:val="Contenudetableau"/>
              <w:widowControl w:val="false"/>
              <w:jc w:val="center"/>
              <w:rPr/>
            </w:pPr>
            <w:r>
              <w:rPr>
                <w:sz w:val="16"/>
                <w:szCs w:val="16"/>
              </w:rPr>
              <w:t xml:space="preserve"> </w:t>
            </w:r>
            <w:r>
              <w:rPr>
                <w:sz w:val="16"/>
                <w:szCs w:val="16"/>
              </w:rPr>
              <w:t>12</w:t>
            </w:r>
          </w:p>
        </w:tc>
        <w:tc>
          <w:tcPr>
            <w:tcW w:w="190" w:type="dxa"/>
            <w:tcBorders/>
          </w:tcPr>
          <w:p>
            <w:pPr>
              <w:pStyle w:val="Contenudetableau"/>
              <w:widowControl w:val="false"/>
              <w:jc w:val="center"/>
              <w:rPr>
                <w:sz w:val="16"/>
                <w:szCs w:val="16"/>
              </w:rPr>
            </w:pPr>
            <w:r>
              <w:rPr>
                <w:sz w:val="16"/>
                <w:szCs w:val="16"/>
              </w:rPr>
              <w:t xml:space="preserve">  </w:t>
            </w:r>
            <w:r>
              <w:rPr>
                <w:sz w:val="16"/>
                <w:szCs w:val="16"/>
              </w:rPr>
              <w:t>0</w:t>
            </w:r>
          </w:p>
        </w:tc>
        <w:tc>
          <w:tcPr>
            <w:tcW w:w="187" w:type="dxa"/>
            <w:tcBorders/>
          </w:tcPr>
          <w:p>
            <w:pPr>
              <w:pStyle w:val="Contenudetableau"/>
              <w:widowControl w:val="false"/>
              <w:jc w:val="center"/>
              <w:rPr>
                <w:sz w:val="16"/>
                <w:szCs w:val="16"/>
              </w:rPr>
            </w:pPr>
            <w:r>
              <w:rPr>
                <w:sz w:val="16"/>
                <w:szCs w:val="16"/>
              </w:rPr>
              <w:t>0</w:t>
            </w:r>
          </w:p>
        </w:tc>
        <w:tc>
          <w:tcPr>
            <w:tcW w:w="363" w:type="dxa"/>
            <w:tcBorders/>
          </w:tcPr>
          <w:p>
            <w:pPr>
              <w:pStyle w:val="Contenudetableau"/>
              <w:widowControl w:val="false"/>
              <w:jc w:val="center"/>
              <w:rPr>
                <w:sz w:val="16"/>
                <w:szCs w:val="16"/>
              </w:rPr>
            </w:pPr>
            <w:r>
              <w:rPr>
                <w:sz w:val="16"/>
                <w:szCs w:val="16"/>
              </w:rPr>
              <w:t xml:space="preserve">  </w:t>
            </w:r>
            <w:r>
              <w:rPr>
                <w:sz w:val="16"/>
                <w:szCs w:val="16"/>
              </w:rPr>
              <w:t>180</w:t>
            </w:r>
          </w:p>
        </w:tc>
        <w:tc>
          <w:tcPr>
            <w:tcW w:w="859" w:type="dxa"/>
            <w:tcBorders/>
          </w:tcPr>
          <w:p>
            <w:pPr>
              <w:pStyle w:val="Contenudetableau"/>
              <w:widowControl w:val="false"/>
              <w:jc w:val="center"/>
              <w:rPr>
                <w:sz w:val="16"/>
                <w:szCs w:val="16"/>
              </w:rPr>
            </w:pPr>
            <w:r>
              <w:rPr>
                <w:sz w:val="16"/>
                <w:szCs w:val="16"/>
              </w:rPr>
              <w:t>12</w:t>
            </w:r>
          </w:p>
        </w:tc>
        <w:tc>
          <w:tcPr>
            <w:tcW w:w="830" w:type="dxa"/>
            <w:tcBorders/>
          </w:tcPr>
          <w:p>
            <w:pPr>
              <w:pStyle w:val="Contenudetableau"/>
              <w:widowControl w:val="false"/>
              <w:jc w:val="center"/>
              <w:rPr>
                <w:sz w:val="16"/>
                <w:szCs w:val="16"/>
              </w:rPr>
            </w:pPr>
            <w:r>
              <w:rPr>
                <w:sz w:val="16"/>
                <w:szCs w:val="16"/>
              </w:rPr>
              <w:t>6</w:t>
            </w:r>
          </w:p>
        </w:tc>
      </w:tr>
      <w:tr>
        <w:trPr/>
        <w:tc>
          <w:tcPr>
            <w:tcW w:w="802" w:type="dxa"/>
            <w:tcBorders/>
          </w:tcPr>
          <w:p>
            <w:pPr>
              <w:pStyle w:val="Contenudetableau"/>
              <w:widowControl w:val="false"/>
              <w:jc w:val="center"/>
              <w:rPr>
                <w:sz w:val="16"/>
                <w:szCs w:val="16"/>
              </w:rPr>
            </w:pPr>
            <w:r>
              <w:rPr>
                <w:sz w:val="16"/>
                <w:szCs w:val="16"/>
              </w:rPr>
              <w:t>Moyennage</w:t>
            </w:r>
          </w:p>
        </w:tc>
        <w:tc>
          <w:tcPr>
            <w:tcW w:w="228" w:type="dxa"/>
            <w:tcBorders/>
          </w:tcPr>
          <w:p>
            <w:pPr>
              <w:pStyle w:val="Contenudetableau"/>
              <w:widowControl w:val="false"/>
              <w:jc w:val="center"/>
              <w:rPr>
                <w:sz w:val="16"/>
                <w:szCs w:val="16"/>
              </w:rPr>
            </w:pPr>
            <w:r>
              <w:rPr>
                <w:sz w:val="16"/>
                <w:szCs w:val="16"/>
              </w:rPr>
              <w:t>6</w:t>
            </w:r>
          </w:p>
        </w:tc>
        <w:tc>
          <w:tcPr>
            <w:tcW w:w="186" w:type="dxa"/>
            <w:tcBorders/>
          </w:tcPr>
          <w:p>
            <w:pPr>
              <w:pStyle w:val="Contenudetableau"/>
              <w:widowControl w:val="false"/>
              <w:jc w:val="center"/>
              <w:rPr>
                <w:sz w:val="16"/>
                <w:szCs w:val="16"/>
              </w:rPr>
            </w:pPr>
            <w:r>
              <w:rPr>
                <w:sz w:val="16"/>
                <w:szCs w:val="16"/>
              </w:rPr>
              <w:t>6</w:t>
            </w:r>
          </w:p>
        </w:tc>
        <w:tc>
          <w:tcPr>
            <w:tcW w:w="188" w:type="dxa"/>
            <w:tcBorders/>
          </w:tcPr>
          <w:p>
            <w:pPr>
              <w:pStyle w:val="Contenudetableau"/>
              <w:widowControl w:val="false"/>
              <w:jc w:val="center"/>
              <w:rPr>
                <w:sz w:val="16"/>
                <w:szCs w:val="16"/>
              </w:rPr>
            </w:pPr>
            <w:r>
              <w:rPr>
                <w:sz w:val="16"/>
                <w:szCs w:val="16"/>
              </w:rPr>
              <w:t>6</w:t>
            </w:r>
          </w:p>
        </w:tc>
        <w:tc>
          <w:tcPr>
            <w:tcW w:w="186" w:type="dxa"/>
            <w:tcBorders/>
          </w:tcPr>
          <w:p>
            <w:pPr>
              <w:pStyle w:val="Contenudetableau"/>
              <w:widowControl w:val="false"/>
              <w:jc w:val="center"/>
              <w:rPr>
                <w:sz w:val="16"/>
                <w:szCs w:val="16"/>
              </w:rPr>
            </w:pPr>
            <w:r>
              <w:rPr>
                <w:sz w:val="16"/>
                <w:szCs w:val="16"/>
              </w:rPr>
              <w:t>6</w:t>
            </w:r>
          </w:p>
        </w:tc>
        <w:tc>
          <w:tcPr>
            <w:tcW w:w="188" w:type="dxa"/>
            <w:tcBorders/>
          </w:tcPr>
          <w:p>
            <w:pPr>
              <w:pStyle w:val="Contenudetableau"/>
              <w:widowControl w:val="false"/>
              <w:jc w:val="center"/>
              <w:rPr>
                <w:sz w:val="16"/>
                <w:szCs w:val="16"/>
              </w:rPr>
            </w:pPr>
            <w:r>
              <w:rPr>
                <w:sz w:val="16"/>
                <w:szCs w:val="16"/>
              </w:rPr>
              <w:t xml:space="preserve"> </w:t>
            </w:r>
            <w:r>
              <w:rPr>
                <w:sz w:val="16"/>
                <w:szCs w:val="16"/>
              </w:rPr>
              <w:t>6</w:t>
            </w:r>
          </w:p>
        </w:tc>
        <w:tc>
          <w:tcPr>
            <w:tcW w:w="230" w:type="dxa"/>
            <w:tcBorders/>
          </w:tcPr>
          <w:p>
            <w:pPr>
              <w:pStyle w:val="Contenudetableau"/>
              <w:widowControl w:val="false"/>
              <w:jc w:val="center"/>
              <w:rPr>
                <w:sz w:val="16"/>
                <w:szCs w:val="16"/>
              </w:rPr>
            </w:pPr>
            <w:r>
              <w:rPr>
                <w:sz w:val="16"/>
                <w:szCs w:val="16"/>
              </w:rPr>
              <w:t>6</w:t>
            </w:r>
          </w:p>
        </w:tc>
        <w:tc>
          <w:tcPr>
            <w:tcW w:w="184" w:type="dxa"/>
            <w:tcBorders/>
          </w:tcPr>
          <w:p>
            <w:pPr>
              <w:pStyle w:val="Contenudetableau"/>
              <w:widowControl w:val="false"/>
              <w:jc w:val="center"/>
              <w:rPr>
                <w:sz w:val="16"/>
                <w:szCs w:val="16"/>
              </w:rPr>
            </w:pPr>
            <w:r>
              <w:rPr>
                <w:sz w:val="16"/>
                <w:szCs w:val="16"/>
              </w:rPr>
              <w:t xml:space="preserve">  </w:t>
            </w:r>
            <w:r>
              <w:rPr>
                <w:sz w:val="16"/>
                <w:szCs w:val="16"/>
              </w:rPr>
              <w:t>6</w:t>
            </w:r>
          </w:p>
        </w:tc>
        <w:tc>
          <w:tcPr>
            <w:tcW w:w="190" w:type="dxa"/>
            <w:tcBorders/>
          </w:tcPr>
          <w:p>
            <w:pPr>
              <w:pStyle w:val="Contenudetableau"/>
              <w:widowControl w:val="false"/>
              <w:jc w:val="center"/>
              <w:rPr>
                <w:sz w:val="16"/>
                <w:szCs w:val="16"/>
              </w:rPr>
            </w:pPr>
            <w:r>
              <w:rPr>
                <w:sz w:val="16"/>
                <w:szCs w:val="16"/>
              </w:rPr>
              <w:t>6</w:t>
            </w:r>
          </w:p>
        </w:tc>
        <w:tc>
          <w:tcPr>
            <w:tcW w:w="148" w:type="dxa"/>
            <w:tcBorders/>
          </w:tcPr>
          <w:p>
            <w:pPr>
              <w:pStyle w:val="Contenudetableau"/>
              <w:widowControl w:val="false"/>
              <w:jc w:val="center"/>
              <w:rPr>
                <w:sz w:val="16"/>
                <w:szCs w:val="16"/>
              </w:rPr>
            </w:pPr>
            <w:r>
              <w:rPr>
                <w:sz w:val="16"/>
                <w:szCs w:val="16"/>
              </w:rPr>
              <w:t xml:space="preserve"> </w:t>
            </w:r>
            <w:r>
              <w:rPr>
                <w:sz w:val="16"/>
                <w:szCs w:val="16"/>
              </w:rPr>
              <w:t>6</w:t>
            </w:r>
          </w:p>
        </w:tc>
        <w:tc>
          <w:tcPr>
            <w:tcW w:w="389" w:type="dxa"/>
            <w:tcBorders/>
          </w:tcPr>
          <w:p>
            <w:pPr>
              <w:pStyle w:val="Contenudetableau"/>
              <w:widowControl w:val="false"/>
              <w:jc w:val="center"/>
              <w:rPr>
                <w:sz w:val="16"/>
                <w:szCs w:val="16"/>
              </w:rPr>
            </w:pPr>
            <w:r>
              <w:rPr>
                <w:sz w:val="16"/>
                <w:szCs w:val="16"/>
              </w:rPr>
              <w:t>6</w:t>
            </w:r>
          </w:p>
        </w:tc>
        <w:tc>
          <w:tcPr>
            <w:tcW w:w="189" w:type="dxa"/>
            <w:tcBorders/>
          </w:tcPr>
          <w:p>
            <w:pPr>
              <w:pStyle w:val="Contenudetableau"/>
              <w:widowControl w:val="false"/>
              <w:jc w:val="center"/>
              <w:rPr>
                <w:sz w:val="16"/>
                <w:szCs w:val="16"/>
              </w:rPr>
            </w:pPr>
            <w:r>
              <w:rPr>
                <w:sz w:val="16"/>
                <w:szCs w:val="16"/>
              </w:rPr>
              <w:t>6</w:t>
            </w:r>
          </w:p>
        </w:tc>
        <w:tc>
          <w:tcPr>
            <w:tcW w:w="185" w:type="dxa"/>
            <w:tcBorders/>
          </w:tcPr>
          <w:p>
            <w:pPr>
              <w:pStyle w:val="Contenudetableau"/>
              <w:widowControl w:val="false"/>
              <w:jc w:val="center"/>
              <w:rPr>
                <w:sz w:val="16"/>
                <w:szCs w:val="16"/>
              </w:rPr>
            </w:pPr>
            <w:r>
              <w:rPr>
                <w:sz w:val="16"/>
                <w:szCs w:val="16"/>
              </w:rPr>
              <w:t>6</w:t>
            </w:r>
          </w:p>
        </w:tc>
        <w:tc>
          <w:tcPr>
            <w:tcW w:w="190" w:type="dxa"/>
            <w:tcBorders/>
          </w:tcPr>
          <w:p>
            <w:pPr>
              <w:pStyle w:val="Contenudetableau"/>
              <w:widowControl w:val="false"/>
              <w:jc w:val="center"/>
              <w:rPr>
                <w:sz w:val="16"/>
                <w:szCs w:val="16"/>
              </w:rPr>
            </w:pPr>
            <w:r>
              <w:rPr>
                <w:sz w:val="16"/>
                <w:szCs w:val="16"/>
              </w:rPr>
              <w:t xml:space="preserve"> </w:t>
            </w:r>
            <w:r>
              <w:rPr>
                <w:sz w:val="16"/>
                <w:szCs w:val="16"/>
              </w:rPr>
              <w:t>6</w:t>
            </w:r>
          </w:p>
        </w:tc>
        <w:tc>
          <w:tcPr>
            <w:tcW w:w="193" w:type="dxa"/>
            <w:tcBorders/>
          </w:tcPr>
          <w:p>
            <w:pPr>
              <w:pStyle w:val="Contenudetableau"/>
              <w:widowControl w:val="false"/>
              <w:jc w:val="center"/>
              <w:rPr>
                <w:sz w:val="16"/>
                <w:szCs w:val="16"/>
              </w:rPr>
            </w:pPr>
            <w:r>
              <w:rPr>
                <w:sz w:val="16"/>
                <w:szCs w:val="16"/>
              </w:rPr>
              <w:t>6</w:t>
            </w:r>
          </w:p>
        </w:tc>
        <w:tc>
          <w:tcPr>
            <w:tcW w:w="261" w:type="dxa"/>
            <w:tcBorders/>
          </w:tcPr>
          <w:p>
            <w:pPr>
              <w:pStyle w:val="Contenudetableau"/>
              <w:widowControl w:val="false"/>
              <w:jc w:val="center"/>
              <w:rPr>
                <w:sz w:val="16"/>
                <w:szCs w:val="16"/>
              </w:rPr>
            </w:pPr>
            <w:r>
              <w:rPr>
                <w:sz w:val="16"/>
                <w:szCs w:val="16"/>
              </w:rPr>
              <w:t>6</w:t>
            </w:r>
          </w:p>
        </w:tc>
        <w:tc>
          <w:tcPr>
            <w:tcW w:w="238" w:type="dxa"/>
            <w:tcBorders/>
          </w:tcPr>
          <w:p>
            <w:pPr>
              <w:pStyle w:val="Contenudetableau"/>
              <w:widowControl w:val="false"/>
              <w:jc w:val="center"/>
              <w:rPr>
                <w:sz w:val="16"/>
                <w:szCs w:val="16"/>
              </w:rPr>
            </w:pPr>
            <w:r>
              <w:rPr>
                <w:sz w:val="16"/>
                <w:szCs w:val="16"/>
              </w:rPr>
              <w:t xml:space="preserve"> </w:t>
            </w:r>
            <w:r>
              <w:rPr>
                <w:sz w:val="16"/>
                <w:szCs w:val="16"/>
              </w:rPr>
              <w:t>6</w:t>
            </w:r>
          </w:p>
        </w:tc>
        <w:tc>
          <w:tcPr>
            <w:tcW w:w="181" w:type="dxa"/>
            <w:tcBorders/>
          </w:tcPr>
          <w:p>
            <w:pPr>
              <w:pStyle w:val="Contenudetableau"/>
              <w:widowControl w:val="false"/>
              <w:jc w:val="center"/>
              <w:rPr>
                <w:sz w:val="16"/>
                <w:szCs w:val="16"/>
              </w:rPr>
            </w:pPr>
            <w:r>
              <w:rPr>
                <w:sz w:val="16"/>
                <w:szCs w:val="16"/>
              </w:rPr>
              <w:t>6</w:t>
            </w:r>
          </w:p>
        </w:tc>
        <w:tc>
          <w:tcPr>
            <w:tcW w:w="278" w:type="dxa"/>
            <w:tcBorders/>
          </w:tcPr>
          <w:p>
            <w:pPr>
              <w:pStyle w:val="Contenudetableau"/>
              <w:widowControl w:val="false"/>
              <w:jc w:val="center"/>
              <w:rPr>
                <w:sz w:val="16"/>
                <w:szCs w:val="16"/>
              </w:rPr>
            </w:pPr>
            <w:r>
              <w:rPr>
                <w:sz w:val="16"/>
                <w:szCs w:val="16"/>
              </w:rPr>
              <w:t>6</w:t>
            </w:r>
          </w:p>
        </w:tc>
        <w:tc>
          <w:tcPr>
            <w:tcW w:w="188" w:type="dxa"/>
            <w:tcBorders/>
          </w:tcPr>
          <w:p>
            <w:pPr>
              <w:pStyle w:val="Contenudetableau"/>
              <w:widowControl w:val="false"/>
              <w:jc w:val="center"/>
              <w:rPr>
                <w:sz w:val="16"/>
                <w:szCs w:val="16"/>
              </w:rPr>
            </w:pPr>
            <w:r>
              <w:rPr>
                <w:sz w:val="16"/>
                <w:szCs w:val="16"/>
              </w:rPr>
              <w:t>6</w:t>
            </w:r>
          </w:p>
        </w:tc>
        <w:tc>
          <w:tcPr>
            <w:tcW w:w="187" w:type="dxa"/>
            <w:tcBorders/>
          </w:tcPr>
          <w:p>
            <w:pPr>
              <w:pStyle w:val="Contenudetableau"/>
              <w:widowControl w:val="false"/>
              <w:jc w:val="center"/>
              <w:rPr>
                <w:sz w:val="16"/>
                <w:szCs w:val="16"/>
              </w:rPr>
            </w:pPr>
            <w:r>
              <w:rPr>
                <w:sz w:val="16"/>
                <w:szCs w:val="16"/>
              </w:rPr>
              <w:t>6</w:t>
            </w:r>
          </w:p>
        </w:tc>
        <w:tc>
          <w:tcPr>
            <w:tcW w:w="229" w:type="dxa"/>
            <w:tcBorders/>
          </w:tcPr>
          <w:p>
            <w:pPr>
              <w:pStyle w:val="Contenudetableau"/>
              <w:widowControl w:val="false"/>
              <w:jc w:val="center"/>
              <w:rPr>
                <w:sz w:val="16"/>
                <w:szCs w:val="16"/>
              </w:rPr>
            </w:pPr>
            <w:r>
              <w:rPr>
                <w:sz w:val="16"/>
                <w:szCs w:val="16"/>
              </w:rPr>
              <w:t>6</w:t>
            </w:r>
          </w:p>
        </w:tc>
        <w:tc>
          <w:tcPr>
            <w:tcW w:w="187" w:type="dxa"/>
            <w:tcBorders/>
          </w:tcPr>
          <w:p>
            <w:pPr>
              <w:pStyle w:val="Contenudetableau"/>
              <w:widowControl w:val="false"/>
              <w:jc w:val="center"/>
              <w:rPr>
                <w:sz w:val="16"/>
                <w:szCs w:val="16"/>
              </w:rPr>
            </w:pPr>
            <w:r>
              <w:rPr>
                <w:sz w:val="16"/>
                <w:szCs w:val="16"/>
              </w:rPr>
              <w:t xml:space="preserve"> </w:t>
            </w:r>
            <w:r>
              <w:rPr>
                <w:sz w:val="16"/>
                <w:szCs w:val="16"/>
              </w:rPr>
              <w:t>6</w:t>
            </w:r>
          </w:p>
        </w:tc>
        <w:tc>
          <w:tcPr>
            <w:tcW w:w="188" w:type="dxa"/>
            <w:tcBorders/>
          </w:tcPr>
          <w:p>
            <w:pPr>
              <w:pStyle w:val="Contenudetableau"/>
              <w:widowControl w:val="false"/>
              <w:jc w:val="center"/>
              <w:rPr>
                <w:sz w:val="16"/>
                <w:szCs w:val="16"/>
              </w:rPr>
            </w:pPr>
            <w:r>
              <w:rPr>
                <w:sz w:val="16"/>
                <w:szCs w:val="16"/>
              </w:rPr>
              <w:t>6</w:t>
            </w:r>
          </w:p>
        </w:tc>
        <w:tc>
          <w:tcPr>
            <w:tcW w:w="187" w:type="dxa"/>
            <w:tcBorders/>
          </w:tcPr>
          <w:p>
            <w:pPr>
              <w:pStyle w:val="Contenudetableau"/>
              <w:widowControl w:val="false"/>
              <w:jc w:val="center"/>
              <w:rPr>
                <w:sz w:val="16"/>
                <w:szCs w:val="16"/>
              </w:rPr>
            </w:pPr>
            <w:r>
              <w:rPr>
                <w:sz w:val="16"/>
                <w:szCs w:val="16"/>
              </w:rPr>
              <w:t>6</w:t>
            </w:r>
          </w:p>
        </w:tc>
        <w:tc>
          <w:tcPr>
            <w:tcW w:w="228" w:type="dxa"/>
            <w:tcBorders/>
          </w:tcPr>
          <w:p>
            <w:pPr>
              <w:pStyle w:val="Contenudetableau"/>
              <w:widowControl w:val="false"/>
              <w:jc w:val="center"/>
              <w:rPr>
                <w:sz w:val="16"/>
                <w:szCs w:val="16"/>
              </w:rPr>
            </w:pPr>
            <w:r>
              <w:rPr>
                <w:sz w:val="16"/>
                <w:szCs w:val="16"/>
              </w:rPr>
              <w:t>6</w:t>
            </w:r>
          </w:p>
        </w:tc>
        <w:tc>
          <w:tcPr>
            <w:tcW w:w="229" w:type="dxa"/>
            <w:tcBorders/>
          </w:tcPr>
          <w:p>
            <w:pPr>
              <w:pStyle w:val="Contenudetableau"/>
              <w:widowControl w:val="false"/>
              <w:jc w:val="center"/>
              <w:rPr>
                <w:sz w:val="16"/>
                <w:szCs w:val="16"/>
              </w:rPr>
            </w:pPr>
            <w:r>
              <w:rPr>
                <w:sz w:val="16"/>
                <w:szCs w:val="16"/>
              </w:rPr>
              <w:t xml:space="preserve"> </w:t>
            </w:r>
            <w:r>
              <w:rPr>
                <w:sz w:val="16"/>
                <w:szCs w:val="16"/>
              </w:rPr>
              <w:t>6</w:t>
            </w:r>
          </w:p>
        </w:tc>
        <w:tc>
          <w:tcPr>
            <w:tcW w:w="273" w:type="dxa"/>
            <w:tcBorders/>
          </w:tcPr>
          <w:p>
            <w:pPr>
              <w:pStyle w:val="Contenudetableau"/>
              <w:widowControl w:val="false"/>
              <w:jc w:val="center"/>
              <w:rPr>
                <w:sz w:val="16"/>
                <w:szCs w:val="16"/>
              </w:rPr>
            </w:pPr>
            <w:r>
              <w:rPr>
                <w:sz w:val="16"/>
                <w:szCs w:val="16"/>
              </w:rPr>
              <w:t>6</w:t>
            </w:r>
          </w:p>
        </w:tc>
        <w:tc>
          <w:tcPr>
            <w:tcW w:w="228" w:type="dxa"/>
            <w:tcBorders/>
          </w:tcPr>
          <w:p>
            <w:pPr>
              <w:pStyle w:val="Contenudetableau"/>
              <w:widowControl w:val="false"/>
              <w:jc w:val="center"/>
              <w:rPr>
                <w:sz w:val="16"/>
                <w:szCs w:val="16"/>
              </w:rPr>
            </w:pPr>
            <w:r>
              <w:rPr>
                <w:sz w:val="16"/>
                <w:szCs w:val="16"/>
              </w:rPr>
              <w:t xml:space="preserve"> </w:t>
            </w:r>
            <w:r>
              <w:rPr>
                <w:sz w:val="16"/>
                <w:szCs w:val="16"/>
              </w:rPr>
              <w:t>6</w:t>
            </w:r>
          </w:p>
        </w:tc>
        <w:tc>
          <w:tcPr>
            <w:tcW w:w="190" w:type="dxa"/>
            <w:tcBorders/>
          </w:tcPr>
          <w:p>
            <w:pPr>
              <w:pStyle w:val="Contenudetableau"/>
              <w:widowControl w:val="false"/>
              <w:jc w:val="center"/>
              <w:rPr>
                <w:sz w:val="16"/>
                <w:szCs w:val="16"/>
              </w:rPr>
            </w:pPr>
            <w:r>
              <w:rPr>
                <w:sz w:val="16"/>
                <w:szCs w:val="16"/>
              </w:rPr>
              <w:t>6</w:t>
            </w:r>
          </w:p>
        </w:tc>
        <w:tc>
          <w:tcPr>
            <w:tcW w:w="187" w:type="dxa"/>
            <w:tcBorders/>
          </w:tcPr>
          <w:p>
            <w:pPr>
              <w:pStyle w:val="Contenudetableau"/>
              <w:widowControl w:val="false"/>
              <w:jc w:val="center"/>
              <w:rPr>
                <w:sz w:val="16"/>
                <w:szCs w:val="16"/>
              </w:rPr>
            </w:pPr>
            <w:r>
              <w:rPr>
                <w:sz w:val="16"/>
                <w:szCs w:val="16"/>
              </w:rPr>
              <w:t>6</w:t>
            </w:r>
          </w:p>
        </w:tc>
        <w:tc>
          <w:tcPr>
            <w:tcW w:w="363" w:type="dxa"/>
            <w:tcBorders/>
          </w:tcPr>
          <w:p>
            <w:pPr>
              <w:pStyle w:val="Contenudetableau"/>
              <w:widowControl w:val="false"/>
              <w:jc w:val="center"/>
              <w:rPr>
                <w:sz w:val="16"/>
                <w:szCs w:val="16"/>
              </w:rPr>
            </w:pPr>
            <w:r>
              <w:rPr>
                <w:sz w:val="16"/>
                <w:szCs w:val="16"/>
              </w:rPr>
              <w:t xml:space="preserve">  </w:t>
            </w:r>
            <w:r>
              <w:rPr>
                <w:sz w:val="16"/>
                <w:szCs w:val="16"/>
              </w:rPr>
              <w:t>180</w:t>
            </w:r>
          </w:p>
        </w:tc>
        <w:tc>
          <w:tcPr>
            <w:tcW w:w="859" w:type="dxa"/>
            <w:tcBorders/>
          </w:tcPr>
          <w:p>
            <w:pPr>
              <w:pStyle w:val="Contenudetableau"/>
              <w:widowControl w:val="false"/>
              <w:jc w:val="center"/>
              <w:rPr>
                <w:sz w:val="16"/>
                <w:szCs w:val="16"/>
              </w:rPr>
            </w:pPr>
            <w:r>
              <w:rPr>
                <w:sz w:val="16"/>
                <w:szCs w:val="16"/>
              </w:rPr>
              <w:t>6</w:t>
            </w:r>
          </w:p>
        </w:tc>
        <w:tc>
          <w:tcPr>
            <w:tcW w:w="830" w:type="dxa"/>
            <w:tcBorders/>
          </w:tcPr>
          <w:p>
            <w:pPr>
              <w:pStyle w:val="Contenudetableau"/>
              <w:widowControl w:val="false"/>
              <w:jc w:val="center"/>
              <w:rPr>
                <w:sz w:val="16"/>
                <w:szCs w:val="16"/>
              </w:rPr>
            </w:pPr>
            <w:r>
              <w:rPr>
                <w:sz w:val="16"/>
                <w:szCs w:val="16"/>
              </w:rPr>
              <w:t>6</w:t>
            </w:r>
          </w:p>
        </w:tc>
      </w:tr>
    </w:tbl>
    <w:p>
      <w:pPr>
        <w:pStyle w:val="Normal"/>
        <w:jc w:val="both"/>
        <w:rPr/>
      </w:pPr>
      <w:r>
        <w:rPr/>
        <w:tab/>
      </w:r>
    </w:p>
    <w:p>
      <w:pPr>
        <w:pStyle w:val="Normal"/>
        <w:jc w:val="both"/>
        <w:rPr>
          <w:rFonts w:ascii="Times New Roman" w:hAnsi="Times New Roman"/>
          <w:sz w:val="22"/>
          <w:szCs w:val="22"/>
        </w:rPr>
      </w:pPr>
      <w:r>
        <w:rPr>
          <w:rFonts w:ascii="Times New Roman" w:hAnsi="Times New Roman"/>
          <w:sz w:val="22"/>
          <w:szCs w:val="22"/>
        </w:rPr>
        <w:tab/>
        <w:t>L’erreur : l’enseignant a calculé comme si les élèves absents avaient tous eu une note de 0/20 ou, ce qui revient au même pour la moyenne absurde obtenue, comme si tous les élèves de sa classe avaient obtenus la même note, de façon homogène, de 6/20. Il importe de remarquer que cette manière de faire fausse en outre la moyenne des élèves qui ont réellement passé leur épreuve, qui passe de 12 à 6. Ainsi tous les élèves ont une note fausse : les présents voient tous leur note divisée par 2 et les absents se voient attribuer une note de 6 alors qu’ils n’étaient pas là !</w:t>
      </w:r>
    </w:p>
    <w:p>
      <w:pPr>
        <w:pStyle w:val="Normal"/>
        <w:rPr/>
      </w:pPr>
      <w:r>
        <w:rPr/>
      </w:r>
    </w:p>
    <w:p>
      <w:pPr>
        <w:pStyle w:val="Normal"/>
        <w:jc w:val="both"/>
        <w:rPr/>
      </w:pPr>
      <w:r>
        <w:rPr/>
        <w:tab/>
      </w:r>
    </w:p>
    <w:p>
      <w:pPr>
        <w:pStyle w:val="Normal"/>
        <w:jc w:val="both"/>
        <w:rPr/>
      </w:pPr>
      <w:r>
        <w:rPr/>
      </w:r>
    </w:p>
    <w:p>
      <w:pPr>
        <w:pStyle w:val="Normal"/>
        <w:jc w:val="both"/>
        <w:rPr>
          <w:b/>
          <w:b/>
          <w:bCs/>
        </w:rPr>
      </w:pPr>
      <w:r>
        <w:rPr>
          <w:b/>
          <w:bCs/>
        </w:rPr>
        <w:t>2-1-1 : Réponse à un (mauvais) « argument » : oui, mais la terre tourne</w:t>
      </w:r>
    </w:p>
    <w:p>
      <w:pPr>
        <w:pStyle w:val="Normal"/>
        <w:jc w:val="both"/>
        <w:rPr/>
      </w:pPr>
      <w:r>
        <w:rPr/>
      </w:r>
    </w:p>
    <w:p>
      <w:pPr>
        <w:pStyle w:val="Normal"/>
        <w:jc w:val="both"/>
        <w:rPr>
          <w:rFonts w:ascii="Times New Roman" w:hAnsi="Times New Roman"/>
          <w:sz w:val="22"/>
          <w:szCs w:val="22"/>
        </w:rPr>
      </w:pPr>
      <w:r>
        <w:rPr>
          <w:rFonts w:ascii="Times New Roman" w:hAnsi="Times New Roman"/>
          <w:sz w:val="22"/>
          <w:szCs w:val="22"/>
        </w:rPr>
        <w:tab/>
        <w:t>La difficulté à bien percevoir l’erreur de l’enseignant est malheureusement très grande, y compris pour des physiciens rompus aux calculs mathématiques. Nous avons réalisé tout particulièrement cette difficulté en lisant ce qu’un contradicteur a cru pouvoir présenter comme étant une objection.</w:t>
      </w:r>
    </w:p>
    <w:p>
      <w:pPr>
        <w:pStyle w:val="Normal"/>
        <w:jc w:val="both"/>
        <w:rPr>
          <w:rFonts w:ascii="Times New Roman" w:hAnsi="Times New Roman"/>
          <w:sz w:val="22"/>
          <w:szCs w:val="22"/>
        </w:rPr>
      </w:pPr>
      <w:r>
        <w:rPr>
          <w:rFonts w:ascii="Times New Roman" w:hAnsi="Times New Roman"/>
          <w:sz w:val="22"/>
          <w:szCs w:val="22"/>
        </w:rPr>
        <w:br/>
        <w:tab/>
        <w:t>«Vous auriez raison si la terre n’était pas en rotation. »</w:t>
      </w:r>
    </w:p>
    <w:p>
      <w:pPr>
        <w:pStyle w:val="Normal"/>
        <w:jc w:val="both"/>
        <w:rPr>
          <w:rFonts w:ascii="Times New Roman" w:hAnsi="Times New Roman"/>
          <w:sz w:val="22"/>
          <w:szCs w:val="22"/>
        </w:rPr>
      </w:pPr>
      <w:r>
        <w:rPr>
          <w:rFonts w:ascii="Times New Roman" w:hAnsi="Times New Roman"/>
          <w:sz w:val="22"/>
          <w:szCs w:val="22"/>
        </w:rPr>
        <w:br/>
        <w:tab/>
        <w:t>Examinons cette objection à la lumière de notre exemple de notes de l’enseignant dans sa classe. Faire une seule épreuve constitue une simple photo de la classe avec dans le cas qui nous occupe 15 élèves absents bien précis. De même étudier l’irradiance parvenant sur terre se fait également comme une photo, à un instant donné. A cet instant là, une face bien précise est éclairée. L’autre face est dans la nuit.</w:t>
      </w:r>
    </w:p>
    <w:p>
      <w:pPr>
        <w:pStyle w:val="Normal"/>
        <w:jc w:val="both"/>
        <w:rPr/>
      </w:pPr>
      <w:r>
        <w:rPr>
          <w:rFonts w:ascii="Times New Roman" w:hAnsi="Times New Roman"/>
          <w:sz w:val="22"/>
          <w:szCs w:val="22"/>
        </w:rPr>
        <w:tab/>
        <w:br/>
        <w:tab/>
        <w:t xml:space="preserve">Faisons tourner la terre : nous changeons l’instant examiné. Une nouvelle face bien précise mais différente de la précédente, est éclairée. Sa face opposée est maintenant celle qui se trouve dans la nuit. Ce n’est pas la même non plus qu’à l’instant précédent. Mais la valeur en m² de ces faces, à savoir </w:t>
      </w:r>
      <w:r>
        <w:rPr>
          <w:rFonts w:ascii="Times New Roman" w:hAnsi="Times New Roman"/>
          <w:position w:val="0"/>
          <w:sz w:val="22"/>
          <w:sz w:val="22"/>
          <w:szCs w:val="22"/>
          <w:vertAlign w:val="baseline"/>
        </w:rPr>
        <w:t>2</w:t>
      </w:r>
      <w:r>
        <w:rPr>
          <w:rFonts w:eastAsia="Noto Serif CJK SC" w:cs="Lohit Devanagari"/>
          <w:position w:val="0"/>
          <w:sz w:val="22"/>
          <w:sz w:val="22"/>
          <w:szCs w:val="22"/>
          <w:vertAlign w:val="baseline"/>
        </w:rPr>
        <w:t>π</w:t>
      </w:r>
      <w:r>
        <w:rPr>
          <w:rFonts w:eastAsia="Noto Serif CJK SC" w:cs="Lohit Devanagari" w:ascii="Times New Roman" w:hAnsi="Times New Roman"/>
          <w:position w:val="0"/>
          <w:sz w:val="22"/>
          <w:sz w:val="22"/>
          <w:szCs w:val="22"/>
          <w:vertAlign w:val="baseline"/>
        </w:rPr>
        <w:t>R2, où R est le rayon de la terre,</w:t>
      </w:r>
      <w:r>
        <w:rPr>
          <w:rFonts w:ascii="Times New Roman" w:hAnsi="Times New Roman"/>
          <w:position w:val="0"/>
          <w:sz w:val="22"/>
          <w:sz w:val="22"/>
          <w:szCs w:val="22"/>
          <w:vertAlign w:val="baseline"/>
        </w:rPr>
        <w:t xml:space="preserve"> </w:t>
      </w:r>
      <w:r>
        <w:rPr>
          <w:rFonts w:ascii="Times New Roman" w:hAnsi="Times New Roman"/>
          <w:sz w:val="22"/>
          <w:szCs w:val="22"/>
        </w:rPr>
        <w:t>n’a pas changé. Or, dans les calculs, seule intervient cette valeur en m²</w:t>
      </w:r>
      <w:r>
        <w:rPr>
          <w:rFonts w:ascii="Times New Roman" w:hAnsi="Times New Roman"/>
          <w:position w:val="0"/>
          <w:sz w:val="22"/>
          <w:sz w:val="22"/>
          <w:szCs w:val="22"/>
          <w:vertAlign w:val="baseline"/>
        </w:rPr>
        <w:t xml:space="preserve">.  </w:t>
      </w:r>
      <w:r>
        <w:rPr/>
        <w:t xml:space="preserve">                                                                                                                                                       </w:t>
      </w:r>
    </w:p>
    <w:p>
      <w:pPr>
        <w:pStyle w:val="Normal"/>
        <w:jc w:val="both"/>
        <w:rPr/>
      </w:pPr>
      <w:r>
        <w:rPr/>
      </w:r>
    </w:p>
    <w:p>
      <w:pPr>
        <w:pStyle w:val="Normal"/>
        <w:jc w:val="both"/>
        <w:rPr/>
      </w:pPr>
      <w:r>
        <w:rPr/>
        <w:tab/>
      </w:r>
      <w:r>
        <w:rPr>
          <w:rFonts w:ascii="Times New Roman" w:hAnsi="Times New Roman"/>
          <w:sz w:val="22"/>
          <w:szCs w:val="22"/>
        </w:rPr>
        <w:t>Par analogie, faisons passer une nouvelle épreuve aux élèves de notre classe. Toujours par analogie, supposons que nous ayons quinze élèves présents et quinze élèves absents. Mais les élèves</w:t>
      </w:r>
      <w:r>
        <w:rPr/>
        <w:t xml:space="preserve"> présents ne </w:t>
      </w:r>
      <w:r>
        <w:rPr>
          <w:rFonts w:ascii="Times New Roman" w:hAnsi="Times New Roman"/>
          <w:sz w:val="22"/>
          <w:szCs w:val="22"/>
        </w:rPr>
        <w:t>seront plus les mêmes. Nous effectuons une permutation circulaire parmi les élèves présents, analogue à la rotation de la terre. Nous attribuons à chacun des présents la note de 12/20. Le total de leur notes n’aura donc pas changé. Et dans les calculs de moyenne de la classe, seul compte ce total. Les présents ont toujours une moyenne de 12/20, et si nous calculons la moyenne en divisant par 30, nous retrouvons le m</w:t>
      </w:r>
      <w:r>
        <w:rPr>
          <w:rFonts w:eastAsia="Noto Serif CJK SC" w:cs="Lohit Devanagari" w:ascii="Times New Roman" w:hAnsi="Times New Roman"/>
          <w:color w:val="auto"/>
          <w:kern w:val="2"/>
          <w:sz w:val="22"/>
          <w:szCs w:val="22"/>
          <w:lang w:val="fr-FR" w:eastAsia="zh-CN" w:bidi="hi-IN"/>
        </w:rPr>
        <w:t>ême chiffre absurde de 6/20.</w:t>
      </w:r>
    </w:p>
    <w:p>
      <w:pPr>
        <w:pStyle w:val="Normal"/>
        <w:jc w:val="both"/>
        <w:rPr/>
      </w:pPr>
      <w:r>
        <w:rPr/>
      </w:r>
    </w:p>
    <w:p>
      <w:pPr>
        <w:pStyle w:val="Normal"/>
        <w:jc w:val="both"/>
        <w:rPr/>
      </w:pPr>
      <w:r>
        <w:rPr/>
        <w:tab/>
      </w:r>
      <w:r>
        <w:rPr>
          <w:rFonts w:ascii="Times New Roman" w:hAnsi="Times New Roman"/>
          <w:sz w:val="22"/>
          <w:szCs w:val="22"/>
        </w:rPr>
        <w:t>Nous pouvons poursuivre cette expérience, faire subir d’autres épreuves aux élèves de la classe jusqu’à ce que toutes les configurations possibles par permutation circulaire des élèves présents se soient produites. Ainsi chaque é</w:t>
      </w:r>
      <w:r>
        <w:rPr>
          <w:rFonts w:ascii="Times New Roman" w:hAnsi="Times New Roman"/>
          <w:sz w:val="22"/>
          <w:szCs w:val="22"/>
          <w:shd w:fill="auto" w:val="clear"/>
        </w:rPr>
        <w:t>lèv</w:t>
      </w:r>
      <w:r>
        <w:rPr>
          <w:rFonts w:ascii="Times New Roman" w:hAnsi="Times New Roman"/>
          <w:sz w:val="22"/>
          <w:szCs w:val="22"/>
        </w:rPr>
        <w:t xml:space="preserve">e aura été présent à la moitié des épreuves, absent à l’autre moitié. Sa moyenne aux épreuves passées sera de douze sur vingt si l’enseignant divise à chaque épreuve le total de ses notes par 15, et de six sur 20 s’il divise le total de ses notes par 30. L’erreur de l’enseignant est donc toujours là, exactement la même. Notre enseignant divise par deux la note moyenne réellement obtenue de chacun de ses élèves... </w:t>
      </w:r>
    </w:p>
    <w:p>
      <w:pPr>
        <w:pStyle w:val="Normal"/>
        <w:jc w:val="both"/>
        <w:rPr>
          <w:rFonts w:ascii="Times New Roman" w:hAnsi="Times New Roman"/>
          <w:sz w:val="22"/>
          <w:szCs w:val="22"/>
        </w:rPr>
      </w:pPr>
      <w:r>
        <w:rPr>
          <w:rFonts w:ascii="Times New Roman" w:hAnsi="Times New Roman"/>
          <w:sz w:val="22"/>
          <w:szCs w:val="22"/>
        </w:rPr>
        <w:br/>
        <w:tab/>
        <w:t>Voici une illustration des notes obtenues aux trois premières épreuves,                                                                                                                                               les autres s’en déduisant facilement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Résultats de l’épreuve 1 :</w:t>
      </w:r>
    </w:p>
    <w:p>
      <w:pPr>
        <w:pStyle w:val="Normal"/>
        <w:jc w:val="both"/>
        <w:rPr/>
      </w:pPr>
      <w:r>
        <w:rPr/>
      </w:r>
    </w:p>
    <w:tbl>
      <w:tblPr>
        <w:tblW w:w="9166" w:type="dxa"/>
        <w:jc w:val="center"/>
        <w:tblInd w:w="0" w:type="dxa"/>
        <w:tblLayout w:type="fixed"/>
        <w:tblCellMar>
          <w:top w:w="0" w:type="dxa"/>
          <w:left w:w="0" w:type="dxa"/>
          <w:bottom w:w="0" w:type="dxa"/>
          <w:right w:w="0" w:type="dxa"/>
        </w:tblCellMar>
        <w:tblLook w:val="04a0" w:noHBand="0" w:noVBand="1" w:firstColumn="1" w:lastRow="0" w:lastColumn="0" w:firstRow="1"/>
      </w:tblPr>
      <w:tblGrid>
        <w:gridCol w:w="857"/>
        <w:gridCol w:w="44"/>
        <w:gridCol w:w="202"/>
        <w:gridCol w:w="113"/>
        <w:gridCol w:w="200"/>
        <w:gridCol w:w="199"/>
        <w:gridCol w:w="200"/>
        <w:gridCol w:w="156"/>
        <w:gridCol w:w="201"/>
        <w:gridCol w:w="201"/>
        <w:gridCol w:w="110"/>
        <w:gridCol w:w="244"/>
        <w:gridCol w:w="200"/>
        <w:gridCol w:w="205"/>
        <w:gridCol w:w="198"/>
        <w:gridCol w:w="197"/>
        <w:gridCol w:w="244"/>
        <w:gridCol w:w="207"/>
        <w:gridCol w:w="198"/>
        <w:gridCol w:w="252"/>
        <w:gridCol w:w="199"/>
        <w:gridCol w:w="200"/>
        <w:gridCol w:w="245"/>
        <w:gridCol w:w="202"/>
        <w:gridCol w:w="201"/>
        <w:gridCol w:w="199"/>
        <w:gridCol w:w="243"/>
        <w:gridCol w:w="248"/>
        <w:gridCol w:w="201"/>
        <w:gridCol w:w="201"/>
        <w:gridCol w:w="200"/>
        <w:gridCol w:w="200"/>
        <w:gridCol w:w="387"/>
        <w:gridCol w:w="922"/>
        <w:gridCol w:w="887"/>
      </w:tblGrid>
      <w:tr>
        <w:trPr>
          <w:trHeight w:val="235" w:hRule="atLeast"/>
        </w:trPr>
        <w:tc>
          <w:tcPr>
            <w:tcW w:w="857" w:type="dxa"/>
            <w:tcBorders/>
          </w:tcPr>
          <w:p>
            <w:pPr>
              <w:pStyle w:val="Contenudetableau"/>
              <w:widowControl w:val="false"/>
              <w:jc w:val="center"/>
              <w:rPr>
                <w:sz w:val="16"/>
                <w:szCs w:val="16"/>
              </w:rPr>
            </w:pPr>
            <w:r>
              <w:rPr>
                <w:sz w:val="16"/>
                <w:szCs w:val="16"/>
              </w:rPr>
              <w:t xml:space="preserve"> </w:t>
            </w:r>
            <w:r>
              <w:rPr>
                <w:sz w:val="16"/>
                <w:szCs w:val="16"/>
              </w:rPr>
              <w:t>élève</w:t>
            </w:r>
          </w:p>
        </w:tc>
        <w:tc>
          <w:tcPr>
            <w:tcW w:w="44" w:type="dxa"/>
            <w:tcBorders/>
          </w:tcPr>
          <w:p>
            <w:pPr>
              <w:pStyle w:val="Contenudetableau"/>
              <w:widowControl w:val="false"/>
              <w:jc w:val="center"/>
              <w:rPr>
                <w:sz w:val="16"/>
                <w:szCs w:val="16"/>
              </w:rPr>
            </w:pPr>
            <w:r>
              <w:rPr>
                <w:sz w:val="16"/>
                <w:szCs w:val="16"/>
              </w:rPr>
            </w:r>
          </w:p>
        </w:tc>
        <w:tc>
          <w:tcPr>
            <w:tcW w:w="202" w:type="dxa"/>
            <w:tcBorders/>
          </w:tcPr>
          <w:p>
            <w:pPr>
              <w:pStyle w:val="Contenudetableau"/>
              <w:widowControl w:val="false"/>
              <w:jc w:val="center"/>
              <w:rPr>
                <w:sz w:val="16"/>
                <w:szCs w:val="16"/>
              </w:rPr>
            </w:pPr>
            <w:r>
              <w:rPr>
                <w:sz w:val="16"/>
                <w:szCs w:val="16"/>
              </w:rPr>
              <w:t>1</w:t>
            </w:r>
          </w:p>
        </w:tc>
        <w:tc>
          <w:tcPr>
            <w:tcW w:w="113" w:type="dxa"/>
            <w:tcBorders/>
          </w:tcPr>
          <w:p>
            <w:pPr>
              <w:pStyle w:val="Contenudetableau"/>
              <w:widowControl w:val="false"/>
              <w:jc w:val="center"/>
              <w:rPr>
                <w:sz w:val="16"/>
                <w:szCs w:val="16"/>
              </w:rPr>
            </w:pPr>
            <w:r>
              <w:rPr>
                <w:sz w:val="16"/>
                <w:szCs w:val="16"/>
              </w:rPr>
              <w:t>2</w:t>
            </w:r>
          </w:p>
        </w:tc>
        <w:tc>
          <w:tcPr>
            <w:tcW w:w="200" w:type="dxa"/>
            <w:tcBorders/>
          </w:tcPr>
          <w:p>
            <w:pPr>
              <w:pStyle w:val="Contenudetableau"/>
              <w:widowControl w:val="false"/>
              <w:jc w:val="center"/>
              <w:rPr>
                <w:sz w:val="16"/>
                <w:szCs w:val="16"/>
              </w:rPr>
            </w:pPr>
            <w:r>
              <w:rPr>
                <w:sz w:val="16"/>
                <w:szCs w:val="16"/>
              </w:rPr>
              <w:t>3</w:t>
            </w:r>
          </w:p>
        </w:tc>
        <w:tc>
          <w:tcPr>
            <w:tcW w:w="199" w:type="dxa"/>
            <w:tcBorders/>
          </w:tcPr>
          <w:p>
            <w:pPr>
              <w:pStyle w:val="Contenudetableau"/>
              <w:widowControl w:val="false"/>
              <w:jc w:val="center"/>
              <w:rPr>
                <w:sz w:val="16"/>
                <w:szCs w:val="16"/>
              </w:rPr>
            </w:pPr>
            <w:r>
              <w:rPr>
                <w:sz w:val="16"/>
                <w:szCs w:val="16"/>
              </w:rPr>
              <w:t>4</w:t>
            </w:r>
          </w:p>
        </w:tc>
        <w:tc>
          <w:tcPr>
            <w:tcW w:w="200" w:type="dxa"/>
            <w:tcBorders/>
          </w:tcPr>
          <w:p>
            <w:pPr>
              <w:pStyle w:val="Contenudetableau"/>
              <w:widowControl w:val="false"/>
              <w:jc w:val="center"/>
              <w:rPr>
                <w:sz w:val="16"/>
                <w:szCs w:val="16"/>
              </w:rPr>
            </w:pPr>
            <w:r>
              <w:rPr>
                <w:sz w:val="16"/>
                <w:szCs w:val="16"/>
              </w:rPr>
              <w:t>5</w:t>
            </w:r>
          </w:p>
        </w:tc>
        <w:tc>
          <w:tcPr>
            <w:tcW w:w="156" w:type="dxa"/>
            <w:tcBorders/>
          </w:tcPr>
          <w:p>
            <w:pPr>
              <w:pStyle w:val="Contenudetableau"/>
              <w:widowControl w:val="false"/>
              <w:jc w:val="center"/>
              <w:rPr>
                <w:sz w:val="16"/>
                <w:szCs w:val="16"/>
              </w:rPr>
            </w:pPr>
            <w:r>
              <w:rPr>
                <w:sz w:val="16"/>
                <w:szCs w:val="16"/>
              </w:rPr>
              <w:t xml:space="preserve"> </w:t>
            </w:r>
            <w:r>
              <w:rPr>
                <w:sz w:val="16"/>
                <w:szCs w:val="16"/>
              </w:rPr>
              <w:t xml:space="preserve">6   </w:t>
            </w:r>
          </w:p>
        </w:tc>
        <w:tc>
          <w:tcPr>
            <w:tcW w:w="201" w:type="dxa"/>
            <w:tcBorders/>
          </w:tcPr>
          <w:p>
            <w:pPr>
              <w:pStyle w:val="Contenudetableau"/>
              <w:widowControl w:val="false"/>
              <w:jc w:val="center"/>
              <w:rPr>
                <w:sz w:val="16"/>
                <w:szCs w:val="16"/>
              </w:rPr>
            </w:pPr>
            <w:r>
              <w:rPr>
                <w:sz w:val="16"/>
                <w:szCs w:val="16"/>
              </w:rPr>
              <w:t xml:space="preserve">  </w:t>
            </w:r>
            <w:r>
              <w:rPr>
                <w:sz w:val="16"/>
                <w:szCs w:val="16"/>
              </w:rPr>
              <w:t>7</w:t>
            </w:r>
          </w:p>
        </w:tc>
        <w:tc>
          <w:tcPr>
            <w:tcW w:w="201" w:type="dxa"/>
            <w:tcBorders/>
          </w:tcPr>
          <w:p>
            <w:pPr>
              <w:pStyle w:val="Contenudetableau"/>
              <w:widowControl w:val="false"/>
              <w:jc w:val="center"/>
              <w:rPr>
                <w:sz w:val="16"/>
                <w:szCs w:val="16"/>
              </w:rPr>
            </w:pPr>
            <w:r>
              <w:rPr>
                <w:sz w:val="16"/>
                <w:szCs w:val="16"/>
              </w:rPr>
              <w:t>8</w:t>
            </w:r>
          </w:p>
        </w:tc>
        <w:tc>
          <w:tcPr>
            <w:tcW w:w="110" w:type="dxa"/>
            <w:tcBorders/>
          </w:tcPr>
          <w:p>
            <w:pPr>
              <w:pStyle w:val="Contenudetableau"/>
              <w:widowControl w:val="false"/>
              <w:jc w:val="center"/>
              <w:rPr>
                <w:sz w:val="16"/>
                <w:szCs w:val="16"/>
              </w:rPr>
            </w:pPr>
            <w:r>
              <w:rPr>
                <w:sz w:val="16"/>
                <w:szCs w:val="16"/>
              </w:rPr>
              <w:t>9</w:t>
            </w:r>
          </w:p>
        </w:tc>
        <w:tc>
          <w:tcPr>
            <w:tcW w:w="244" w:type="dxa"/>
            <w:tcBorders/>
          </w:tcPr>
          <w:p>
            <w:pPr>
              <w:pStyle w:val="Contenudetableau"/>
              <w:widowControl w:val="false"/>
              <w:jc w:val="center"/>
              <w:rPr>
                <w:sz w:val="16"/>
                <w:szCs w:val="16"/>
              </w:rPr>
            </w:pPr>
            <w:r>
              <w:rPr>
                <w:sz w:val="16"/>
                <w:szCs w:val="16"/>
              </w:rPr>
              <w:t xml:space="preserve"> </w:t>
            </w:r>
            <w:r>
              <w:rPr>
                <w:sz w:val="16"/>
                <w:szCs w:val="16"/>
              </w:rPr>
              <w:t xml:space="preserve">10    </w:t>
            </w:r>
          </w:p>
        </w:tc>
        <w:tc>
          <w:tcPr>
            <w:tcW w:w="200" w:type="dxa"/>
            <w:tcBorders/>
          </w:tcPr>
          <w:p>
            <w:pPr>
              <w:pStyle w:val="Contenudetableau"/>
              <w:widowControl w:val="false"/>
              <w:jc w:val="center"/>
              <w:rPr>
                <w:sz w:val="16"/>
                <w:szCs w:val="16"/>
              </w:rPr>
            </w:pPr>
            <w:r>
              <w:rPr>
                <w:sz w:val="16"/>
                <w:szCs w:val="16"/>
              </w:rPr>
              <w:t>11</w:t>
            </w:r>
          </w:p>
        </w:tc>
        <w:tc>
          <w:tcPr>
            <w:tcW w:w="205"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t>13</w:t>
            </w:r>
          </w:p>
        </w:tc>
        <w:tc>
          <w:tcPr>
            <w:tcW w:w="197" w:type="dxa"/>
            <w:tcBorders/>
          </w:tcPr>
          <w:p>
            <w:pPr>
              <w:pStyle w:val="Contenudetableau"/>
              <w:widowControl w:val="false"/>
              <w:jc w:val="center"/>
              <w:rPr>
                <w:sz w:val="16"/>
                <w:szCs w:val="16"/>
              </w:rPr>
            </w:pPr>
            <w:r>
              <w:rPr>
                <w:sz w:val="16"/>
                <w:szCs w:val="16"/>
              </w:rPr>
              <w:t>14</w:t>
            </w:r>
          </w:p>
        </w:tc>
        <w:tc>
          <w:tcPr>
            <w:tcW w:w="244" w:type="dxa"/>
            <w:tcBorders/>
          </w:tcPr>
          <w:p>
            <w:pPr>
              <w:pStyle w:val="Contenudetableau"/>
              <w:widowControl w:val="false"/>
              <w:jc w:val="center"/>
              <w:rPr>
                <w:sz w:val="16"/>
                <w:szCs w:val="16"/>
              </w:rPr>
            </w:pPr>
            <w:r>
              <w:rPr>
                <w:sz w:val="16"/>
                <w:szCs w:val="16"/>
              </w:rPr>
              <w:t xml:space="preserve"> </w:t>
            </w:r>
            <w:r>
              <w:rPr>
                <w:sz w:val="16"/>
                <w:szCs w:val="16"/>
              </w:rPr>
              <w:t>15</w:t>
            </w:r>
          </w:p>
        </w:tc>
        <w:tc>
          <w:tcPr>
            <w:tcW w:w="207" w:type="dxa"/>
            <w:tcBorders/>
          </w:tcPr>
          <w:p>
            <w:pPr>
              <w:pStyle w:val="Contenudetableau"/>
              <w:widowControl w:val="false"/>
              <w:jc w:val="center"/>
              <w:rPr>
                <w:sz w:val="16"/>
                <w:szCs w:val="16"/>
              </w:rPr>
            </w:pPr>
            <w:r>
              <w:rPr>
                <w:sz w:val="16"/>
                <w:szCs w:val="16"/>
              </w:rPr>
              <w:t>16</w:t>
            </w:r>
          </w:p>
        </w:tc>
        <w:tc>
          <w:tcPr>
            <w:tcW w:w="198" w:type="dxa"/>
            <w:tcBorders/>
          </w:tcPr>
          <w:p>
            <w:pPr>
              <w:pStyle w:val="Contenudetableau"/>
              <w:widowControl w:val="false"/>
              <w:jc w:val="center"/>
              <w:rPr>
                <w:sz w:val="16"/>
                <w:szCs w:val="16"/>
              </w:rPr>
            </w:pPr>
            <w:r>
              <w:rPr>
                <w:sz w:val="16"/>
                <w:szCs w:val="16"/>
              </w:rPr>
              <w:t>17</w:t>
            </w:r>
          </w:p>
        </w:tc>
        <w:tc>
          <w:tcPr>
            <w:tcW w:w="252" w:type="dxa"/>
            <w:tcBorders/>
          </w:tcPr>
          <w:p>
            <w:pPr>
              <w:pStyle w:val="Contenudetableau"/>
              <w:widowControl w:val="false"/>
              <w:jc w:val="center"/>
              <w:rPr>
                <w:sz w:val="16"/>
                <w:szCs w:val="16"/>
              </w:rPr>
            </w:pPr>
            <w:r>
              <w:rPr>
                <w:sz w:val="16"/>
                <w:szCs w:val="16"/>
              </w:rPr>
              <w:t xml:space="preserve"> </w:t>
            </w:r>
            <w:r>
              <w:rPr>
                <w:sz w:val="16"/>
                <w:szCs w:val="16"/>
              </w:rPr>
              <w:t>18</w:t>
            </w:r>
          </w:p>
        </w:tc>
        <w:tc>
          <w:tcPr>
            <w:tcW w:w="199" w:type="dxa"/>
            <w:tcBorders/>
          </w:tcPr>
          <w:p>
            <w:pPr>
              <w:pStyle w:val="Contenudetableau"/>
              <w:widowControl w:val="false"/>
              <w:jc w:val="center"/>
              <w:rPr>
                <w:sz w:val="16"/>
                <w:szCs w:val="16"/>
              </w:rPr>
            </w:pPr>
            <w:r>
              <w:rPr>
                <w:sz w:val="16"/>
                <w:szCs w:val="16"/>
              </w:rPr>
              <w:t>19</w:t>
            </w:r>
          </w:p>
        </w:tc>
        <w:tc>
          <w:tcPr>
            <w:tcW w:w="200" w:type="dxa"/>
            <w:tcBorders/>
          </w:tcPr>
          <w:p>
            <w:pPr>
              <w:pStyle w:val="Contenudetableau"/>
              <w:widowControl w:val="false"/>
              <w:jc w:val="center"/>
              <w:rPr>
                <w:sz w:val="16"/>
                <w:szCs w:val="16"/>
              </w:rPr>
            </w:pPr>
            <w:r>
              <w:rPr>
                <w:sz w:val="16"/>
                <w:szCs w:val="16"/>
              </w:rPr>
              <w:t>20</w:t>
            </w:r>
          </w:p>
        </w:tc>
        <w:tc>
          <w:tcPr>
            <w:tcW w:w="245" w:type="dxa"/>
            <w:tcBorders/>
          </w:tcPr>
          <w:p>
            <w:pPr>
              <w:pStyle w:val="Contenudetableau"/>
              <w:widowControl w:val="false"/>
              <w:jc w:val="center"/>
              <w:rPr>
                <w:sz w:val="16"/>
                <w:szCs w:val="16"/>
              </w:rPr>
            </w:pPr>
            <w:r>
              <w:rPr>
                <w:sz w:val="16"/>
                <w:szCs w:val="16"/>
              </w:rPr>
              <w:t xml:space="preserve"> </w:t>
            </w:r>
            <w:r>
              <w:rPr>
                <w:sz w:val="16"/>
                <w:szCs w:val="16"/>
              </w:rPr>
              <w:t>21</w:t>
            </w:r>
          </w:p>
        </w:tc>
        <w:tc>
          <w:tcPr>
            <w:tcW w:w="202" w:type="dxa"/>
            <w:tcBorders/>
          </w:tcPr>
          <w:p>
            <w:pPr>
              <w:pStyle w:val="Contenudetableau"/>
              <w:widowControl w:val="false"/>
              <w:jc w:val="center"/>
              <w:rPr>
                <w:sz w:val="16"/>
                <w:szCs w:val="16"/>
              </w:rPr>
            </w:pPr>
            <w:r>
              <w:rPr>
                <w:sz w:val="16"/>
                <w:szCs w:val="16"/>
              </w:rPr>
              <w:t>22</w:t>
            </w:r>
          </w:p>
        </w:tc>
        <w:tc>
          <w:tcPr>
            <w:tcW w:w="201" w:type="dxa"/>
            <w:tcBorders/>
          </w:tcPr>
          <w:p>
            <w:pPr>
              <w:pStyle w:val="Contenudetableau"/>
              <w:widowControl w:val="false"/>
              <w:jc w:val="center"/>
              <w:rPr>
                <w:sz w:val="16"/>
                <w:szCs w:val="16"/>
              </w:rPr>
            </w:pPr>
            <w:r>
              <w:rPr>
                <w:sz w:val="16"/>
                <w:szCs w:val="16"/>
              </w:rPr>
              <w:t>23</w:t>
            </w:r>
          </w:p>
        </w:tc>
        <w:tc>
          <w:tcPr>
            <w:tcW w:w="199" w:type="dxa"/>
            <w:tcBorders/>
          </w:tcPr>
          <w:p>
            <w:pPr>
              <w:pStyle w:val="Contenudetableau"/>
              <w:widowControl w:val="false"/>
              <w:jc w:val="center"/>
              <w:rPr>
                <w:sz w:val="16"/>
                <w:szCs w:val="16"/>
              </w:rPr>
            </w:pPr>
            <w:r>
              <w:rPr>
                <w:sz w:val="16"/>
                <w:szCs w:val="16"/>
              </w:rPr>
              <w:t>24</w:t>
            </w:r>
          </w:p>
        </w:tc>
        <w:tc>
          <w:tcPr>
            <w:tcW w:w="243" w:type="dxa"/>
            <w:tcBorders/>
          </w:tcPr>
          <w:p>
            <w:pPr>
              <w:pStyle w:val="Contenudetableau"/>
              <w:widowControl w:val="false"/>
              <w:jc w:val="center"/>
              <w:rPr>
                <w:sz w:val="16"/>
                <w:szCs w:val="16"/>
              </w:rPr>
            </w:pPr>
            <w:r>
              <w:rPr>
                <w:sz w:val="16"/>
                <w:szCs w:val="16"/>
              </w:rPr>
              <w:t xml:space="preserve"> </w:t>
            </w:r>
            <w:r>
              <w:rPr>
                <w:sz w:val="16"/>
                <w:szCs w:val="16"/>
              </w:rPr>
              <w:t>25</w:t>
            </w:r>
          </w:p>
        </w:tc>
        <w:tc>
          <w:tcPr>
            <w:tcW w:w="248" w:type="dxa"/>
            <w:tcBorders/>
          </w:tcPr>
          <w:p>
            <w:pPr>
              <w:pStyle w:val="Contenudetableau"/>
              <w:widowControl w:val="false"/>
              <w:jc w:val="center"/>
              <w:rPr>
                <w:sz w:val="16"/>
                <w:szCs w:val="16"/>
              </w:rPr>
            </w:pPr>
            <w:r>
              <w:rPr>
                <w:sz w:val="16"/>
                <w:szCs w:val="16"/>
              </w:rPr>
              <w:t xml:space="preserve"> </w:t>
            </w:r>
            <w:r>
              <w:rPr>
                <w:sz w:val="16"/>
                <w:szCs w:val="16"/>
              </w:rPr>
              <w:t>26</w:t>
            </w:r>
          </w:p>
        </w:tc>
        <w:tc>
          <w:tcPr>
            <w:tcW w:w="201" w:type="dxa"/>
            <w:tcBorders/>
          </w:tcPr>
          <w:p>
            <w:pPr>
              <w:pStyle w:val="Contenudetableau"/>
              <w:widowControl w:val="false"/>
              <w:jc w:val="center"/>
              <w:rPr>
                <w:sz w:val="16"/>
                <w:szCs w:val="16"/>
              </w:rPr>
            </w:pPr>
            <w:r>
              <w:rPr>
                <w:sz w:val="16"/>
                <w:szCs w:val="16"/>
              </w:rPr>
              <w:t>27</w:t>
            </w:r>
          </w:p>
        </w:tc>
        <w:tc>
          <w:tcPr>
            <w:tcW w:w="201" w:type="dxa"/>
            <w:tcBorders/>
          </w:tcPr>
          <w:p>
            <w:pPr>
              <w:pStyle w:val="Contenudetableau"/>
              <w:widowControl w:val="false"/>
              <w:jc w:val="center"/>
              <w:rPr>
                <w:sz w:val="16"/>
                <w:szCs w:val="16"/>
              </w:rPr>
            </w:pPr>
            <w:r>
              <w:rPr>
                <w:sz w:val="16"/>
                <w:szCs w:val="16"/>
              </w:rPr>
              <w:t>28</w:t>
            </w:r>
          </w:p>
        </w:tc>
        <w:tc>
          <w:tcPr>
            <w:tcW w:w="200" w:type="dxa"/>
            <w:tcBorders/>
          </w:tcPr>
          <w:p>
            <w:pPr>
              <w:pStyle w:val="Contenudetableau"/>
              <w:widowControl w:val="false"/>
              <w:jc w:val="center"/>
              <w:rPr>
                <w:sz w:val="16"/>
                <w:szCs w:val="16"/>
              </w:rPr>
            </w:pPr>
            <w:r>
              <w:rPr>
                <w:sz w:val="16"/>
                <w:szCs w:val="16"/>
              </w:rPr>
              <w:t>29</w:t>
            </w:r>
          </w:p>
        </w:tc>
        <w:tc>
          <w:tcPr>
            <w:tcW w:w="200" w:type="dxa"/>
            <w:tcBorders/>
          </w:tcPr>
          <w:p>
            <w:pPr>
              <w:pStyle w:val="Contenudetableau"/>
              <w:widowControl w:val="false"/>
              <w:jc w:val="center"/>
              <w:rPr>
                <w:sz w:val="16"/>
                <w:szCs w:val="16"/>
              </w:rPr>
            </w:pPr>
            <w:r>
              <w:rPr>
                <w:sz w:val="16"/>
                <w:szCs w:val="16"/>
              </w:rPr>
              <w:t>30</w:t>
            </w:r>
          </w:p>
        </w:tc>
        <w:tc>
          <w:tcPr>
            <w:tcW w:w="387" w:type="dxa"/>
            <w:tcBorders/>
          </w:tcPr>
          <w:p>
            <w:pPr>
              <w:pStyle w:val="Contenudetableau"/>
              <w:widowControl w:val="false"/>
              <w:jc w:val="center"/>
              <w:rPr>
                <w:sz w:val="16"/>
                <w:szCs w:val="16"/>
              </w:rPr>
            </w:pPr>
            <w:r>
              <w:rPr>
                <w:sz w:val="16"/>
                <w:szCs w:val="16"/>
              </w:rPr>
              <w:t>Total</w:t>
            </w:r>
          </w:p>
        </w:tc>
        <w:tc>
          <w:tcPr>
            <w:tcW w:w="922" w:type="dxa"/>
            <w:tcBorders/>
          </w:tcPr>
          <w:p>
            <w:pPr>
              <w:pStyle w:val="Contenudetableau"/>
              <w:widowControl w:val="false"/>
              <w:jc w:val="center"/>
              <w:rPr>
                <w:sz w:val="16"/>
                <w:szCs w:val="16"/>
              </w:rPr>
            </w:pPr>
            <w:r>
              <w:rPr>
                <w:sz w:val="16"/>
                <w:szCs w:val="16"/>
              </w:rPr>
              <w:t>Moyenne/15</w:t>
            </w:r>
          </w:p>
        </w:tc>
        <w:tc>
          <w:tcPr>
            <w:tcW w:w="887" w:type="dxa"/>
            <w:tcBorders/>
          </w:tcPr>
          <w:p>
            <w:pPr>
              <w:pStyle w:val="Contenudetableau"/>
              <w:widowControl w:val="false"/>
              <w:jc w:val="center"/>
              <w:rPr>
                <w:sz w:val="16"/>
                <w:szCs w:val="16"/>
              </w:rPr>
            </w:pPr>
            <w:r>
              <w:rPr>
                <w:sz w:val="16"/>
                <w:szCs w:val="16"/>
              </w:rPr>
              <w:t>Moyenne/30</w:t>
            </w:r>
          </w:p>
        </w:tc>
      </w:tr>
      <w:tr>
        <w:trPr>
          <w:trHeight w:val="235" w:hRule="atLeast"/>
        </w:trPr>
        <w:tc>
          <w:tcPr>
            <w:tcW w:w="857" w:type="dxa"/>
            <w:tcBorders/>
          </w:tcPr>
          <w:p>
            <w:pPr>
              <w:pStyle w:val="Contenudetableau"/>
              <w:widowControl w:val="false"/>
              <w:jc w:val="center"/>
              <w:rPr>
                <w:sz w:val="16"/>
                <w:szCs w:val="16"/>
              </w:rPr>
            </w:pPr>
            <w:r>
              <w:rPr>
                <w:sz w:val="16"/>
                <w:szCs w:val="16"/>
              </w:rPr>
              <w:t xml:space="preserve"> </w:t>
            </w:r>
            <w:r>
              <w:rPr>
                <w:sz w:val="16"/>
                <w:szCs w:val="16"/>
              </w:rPr>
              <w:t>note</w:t>
            </w:r>
          </w:p>
        </w:tc>
        <w:tc>
          <w:tcPr>
            <w:tcW w:w="44" w:type="dxa"/>
            <w:tcBorders/>
          </w:tcPr>
          <w:p>
            <w:pPr>
              <w:pStyle w:val="Contenudetableau"/>
              <w:widowControl w:val="false"/>
              <w:jc w:val="center"/>
              <w:rPr>
                <w:sz w:val="16"/>
                <w:szCs w:val="16"/>
              </w:rPr>
            </w:pPr>
            <w:r>
              <w:rPr>
                <w:sz w:val="16"/>
                <w:szCs w:val="16"/>
              </w:rPr>
            </w:r>
          </w:p>
        </w:tc>
        <w:tc>
          <w:tcPr>
            <w:tcW w:w="202" w:type="dxa"/>
            <w:tcBorders/>
          </w:tcPr>
          <w:p>
            <w:pPr>
              <w:pStyle w:val="Contenudetableau"/>
              <w:widowControl w:val="false"/>
              <w:jc w:val="center"/>
              <w:rPr>
                <w:sz w:val="16"/>
                <w:szCs w:val="16"/>
              </w:rPr>
            </w:pPr>
            <w:r>
              <w:rPr>
                <w:sz w:val="16"/>
                <w:szCs w:val="16"/>
              </w:rPr>
              <w:t>12</w:t>
            </w:r>
          </w:p>
        </w:tc>
        <w:tc>
          <w:tcPr>
            <w:tcW w:w="113" w:type="dxa"/>
            <w:tcBorders/>
          </w:tcPr>
          <w:p>
            <w:pPr>
              <w:pStyle w:val="Contenudetableau"/>
              <w:widowControl w:val="false"/>
              <w:jc w:val="center"/>
              <w:rPr>
                <w:sz w:val="16"/>
                <w:szCs w:val="16"/>
              </w:rPr>
            </w:pPr>
            <w:r>
              <w:rPr>
                <w:sz w:val="16"/>
                <w:szCs w:val="16"/>
              </w:rPr>
            </w:r>
          </w:p>
        </w:tc>
        <w:tc>
          <w:tcPr>
            <w:tcW w:w="200"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t>12</w:t>
            </w:r>
          </w:p>
        </w:tc>
        <w:tc>
          <w:tcPr>
            <w:tcW w:w="156"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110" w:type="dxa"/>
            <w:tcBorders/>
          </w:tcPr>
          <w:p>
            <w:pPr>
              <w:pStyle w:val="Contenudetableau"/>
              <w:widowControl w:val="false"/>
              <w:jc w:val="center"/>
              <w:rPr>
                <w:sz w:val="16"/>
                <w:szCs w:val="16"/>
              </w:rPr>
            </w:pPr>
            <w:r>
              <w:rPr>
                <w:sz w:val="16"/>
                <w:szCs w:val="16"/>
              </w:rPr>
            </w:r>
          </w:p>
        </w:tc>
        <w:tc>
          <w:tcPr>
            <w:tcW w:w="244"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05"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 xml:space="preserve">12    </w:t>
            </w:r>
          </w:p>
        </w:tc>
        <w:tc>
          <w:tcPr>
            <w:tcW w:w="244" w:type="dxa"/>
            <w:tcBorders/>
          </w:tcPr>
          <w:p>
            <w:pPr>
              <w:pStyle w:val="Contenudetableau"/>
              <w:widowControl w:val="false"/>
              <w:jc w:val="center"/>
              <w:rPr>
                <w:sz w:val="16"/>
                <w:szCs w:val="16"/>
              </w:rPr>
            </w:pPr>
            <w:r>
              <w:rPr>
                <w:sz w:val="16"/>
                <w:szCs w:val="16"/>
              </w:rPr>
            </w:r>
          </w:p>
        </w:tc>
        <w:tc>
          <w:tcPr>
            <w:tcW w:w="207"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252"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45"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243" w:type="dxa"/>
            <w:tcBorders/>
          </w:tcPr>
          <w:p>
            <w:pPr>
              <w:pStyle w:val="Contenudetableau"/>
              <w:widowControl w:val="false"/>
              <w:jc w:val="center"/>
              <w:rPr>
                <w:sz w:val="16"/>
                <w:szCs w:val="16"/>
              </w:rPr>
            </w:pPr>
            <w:r>
              <w:rPr>
                <w:sz w:val="16"/>
                <w:szCs w:val="16"/>
              </w:rPr>
              <w:t>12</w:t>
            </w:r>
          </w:p>
        </w:tc>
        <w:tc>
          <w:tcPr>
            <w:tcW w:w="248"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201"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00" w:type="dxa"/>
            <w:tcBorders/>
          </w:tcPr>
          <w:p>
            <w:pPr>
              <w:pStyle w:val="Contenudetableau"/>
              <w:widowControl w:val="false"/>
              <w:jc w:val="center"/>
              <w:rPr>
                <w:sz w:val="16"/>
                <w:szCs w:val="16"/>
              </w:rPr>
            </w:pPr>
            <w:r>
              <w:rPr>
                <w:sz w:val="16"/>
                <w:szCs w:val="16"/>
              </w:rPr>
            </w:r>
          </w:p>
        </w:tc>
        <w:tc>
          <w:tcPr>
            <w:tcW w:w="387" w:type="dxa"/>
            <w:tcBorders/>
          </w:tcPr>
          <w:p>
            <w:pPr>
              <w:pStyle w:val="Contenudetableau"/>
              <w:widowControl w:val="false"/>
              <w:jc w:val="center"/>
              <w:rPr>
                <w:sz w:val="16"/>
                <w:szCs w:val="16"/>
              </w:rPr>
            </w:pPr>
            <w:r>
              <w:rPr>
                <w:sz w:val="16"/>
                <w:szCs w:val="16"/>
              </w:rPr>
              <w:t xml:space="preserve">  </w:t>
            </w:r>
            <w:r>
              <w:rPr>
                <w:sz w:val="16"/>
                <w:szCs w:val="16"/>
              </w:rPr>
              <w:t>180</w:t>
            </w:r>
          </w:p>
        </w:tc>
        <w:tc>
          <w:tcPr>
            <w:tcW w:w="922" w:type="dxa"/>
            <w:tcBorders/>
          </w:tcPr>
          <w:p>
            <w:pPr>
              <w:pStyle w:val="Contenudetableau"/>
              <w:widowControl w:val="false"/>
              <w:jc w:val="center"/>
              <w:rPr>
                <w:sz w:val="16"/>
                <w:szCs w:val="16"/>
              </w:rPr>
            </w:pPr>
            <w:r>
              <w:rPr>
                <w:sz w:val="16"/>
                <w:szCs w:val="16"/>
              </w:rPr>
              <w:t xml:space="preserve">        </w:t>
            </w:r>
            <w:r>
              <w:rPr>
                <w:sz w:val="16"/>
                <w:szCs w:val="16"/>
              </w:rPr>
              <w:t>12</w:t>
            </w:r>
          </w:p>
        </w:tc>
        <w:tc>
          <w:tcPr>
            <w:tcW w:w="887" w:type="dxa"/>
            <w:tcBorders/>
          </w:tcPr>
          <w:p>
            <w:pPr>
              <w:pStyle w:val="Contenudetableau"/>
              <w:widowControl w:val="false"/>
              <w:jc w:val="center"/>
              <w:rPr>
                <w:sz w:val="16"/>
                <w:szCs w:val="16"/>
              </w:rPr>
            </w:pPr>
            <w:r>
              <w:rPr>
                <w:sz w:val="16"/>
                <w:szCs w:val="16"/>
              </w:rPr>
              <w:t xml:space="preserve"> </w:t>
            </w:r>
            <w:r>
              <w:rPr>
                <w:sz w:val="16"/>
                <w:szCs w:val="16"/>
              </w:rPr>
              <w:t>6</w:t>
            </w:r>
          </w:p>
        </w:tc>
      </w:tr>
      <w:tr>
        <w:trPr>
          <w:trHeight w:val="235" w:hRule="atLeast"/>
        </w:trPr>
        <w:tc>
          <w:tcPr>
            <w:tcW w:w="857" w:type="dxa"/>
            <w:tcBorders/>
          </w:tcPr>
          <w:p>
            <w:pPr>
              <w:pStyle w:val="Contenudetableau"/>
              <w:widowControl w:val="false"/>
              <w:jc w:val="center"/>
              <w:rPr>
                <w:sz w:val="16"/>
                <w:szCs w:val="16"/>
              </w:rPr>
            </w:pPr>
            <w:r>
              <w:rPr>
                <w:sz w:val="16"/>
                <w:szCs w:val="16"/>
              </w:rPr>
              <w:t>Moyennage</w:t>
            </w:r>
          </w:p>
        </w:tc>
        <w:tc>
          <w:tcPr>
            <w:tcW w:w="44" w:type="dxa"/>
            <w:tcBorders/>
          </w:tcPr>
          <w:p>
            <w:pPr>
              <w:pStyle w:val="Contenudetableau"/>
              <w:widowControl w:val="false"/>
              <w:jc w:val="center"/>
              <w:rPr>
                <w:sz w:val="16"/>
                <w:szCs w:val="16"/>
              </w:rPr>
            </w:pPr>
            <w:r>
              <w:rPr>
                <w:sz w:val="16"/>
                <w:szCs w:val="16"/>
              </w:rPr>
            </w:r>
          </w:p>
        </w:tc>
        <w:tc>
          <w:tcPr>
            <w:tcW w:w="202" w:type="dxa"/>
            <w:tcBorders/>
          </w:tcPr>
          <w:p>
            <w:pPr>
              <w:pStyle w:val="Contenudetableau"/>
              <w:widowControl w:val="false"/>
              <w:jc w:val="center"/>
              <w:rPr>
                <w:sz w:val="16"/>
                <w:szCs w:val="16"/>
              </w:rPr>
            </w:pPr>
            <w:r>
              <w:rPr>
                <w:sz w:val="16"/>
                <w:szCs w:val="16"/>
              </w:rPr>
              <w:t>12</w:t>
            </w:r>
          </w:p>
        </w:tc>
        <w:tc>
          <w:tcPr>
            <w:tcW w:w="113" w:type="dxa"/>
            <w:tcBorders/>
          </w:tcPr>
          <w:p>
            <w:pPr>
              <w:pStyle w:val="Contenudetableau"/>
              <w:widowControl w:val="false"/>
              <w:jc w:val="center"/>
              <w:rPr>
                <w:sz w:val="16"/>
                <w:szCs w:val="16"/>
              </w:rPr>
            </w:pPr>
            <w:r>
              <w:rPr>
                <w:sz w:val="16"/>
                <w:szCs w:val="16"/>
              </w:rPr>
            </w:r>
          </w:p>
        </w:tc>
        <w:tc>
          <w:tcPr>
            <w:tcW w:w="200"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t>12</w:t>
            </w:r>
          </w:p>
        </w:tc>
        <w:tc>
          <w:tcPr>
            <w:tcW w:w="156"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110" w:type="dxa"/>
            <w:tcBorders/>
          </w:tcPr>
          <w:p>
            <w:pPr>
              <w:pStyle w:val="Contenudetableau"/>
              <w:widowControl w:val="false"/>
              <w:jc w:val="center"/>
              <w:rPr>
                <w:sz w:val="16"/>
                <w:szCs w:val="16"/>
              </w:rPr>
            </w:pPr>
            <w:r>
              <w:rPr>
                <w:sz w:val="16"/>
                <w:szCs w:val="16"/>
              </w:rPr>
            </w:r>
          </w:p>
        </w:tc>
        <w:tc>
          <w:tcPr>
            <w:tcW w:w="244"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05"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 xml:space="preserve">12    </w:t>
            </w:r>
          </w:p>
        </w:tc>
        <w:tc>
          <w:tcPr>
            <w:tcW w:w="244" w:type="dxa"/>
            <w:tcBorders/>
          </w:tcPr>
          <w:p>
            <w:pPr>
              <w:pStyle w:val="Contenudetableau"/>
              <w:widowControl w:val="false"/>
              <w:jc w:val="center"/>
              <w:rPr>
                <w:sz w:val="16"/>
                <w:szCs w:val="16"/>
              </w:rPr>
            </w:pPr>
            <w:r>
              <w:rPr>
                <w:sz w:val="16"/>
                <w:szCs w:val="16"/>
              </w:rPr>
            </w:r>
          </w:p>
        </w:tc>
        <w:tc>
          <w:tcPr>
            <w:tcW w:w="207"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252"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45"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243" w:type="dxa"/>
            <w:tcBorders/>
          </w:tcPr>
          <w:p>
            <w:pPr>
              <w:pStyle w:val="Contenudetableau"/>
              <w:widowControl w:val="false"/>
              <w:jc w:val="center"/>
              <w:rPr>
                <w:sz w:val="16"/>
                <w:szCs w:val="16"/>
              </w:rPr>
            </w:pPr>
            <w:r>
              <w:rPr>
                <w:sz w:val="16"/>
                <w:szCs w:val="16"/>
              </w:rPr>
              <w:t>12</w:t>
            </w:r>
          </w:p>
        </w:tc>
        <w:tc>
          <w:tcPr>
            <w:tcW w:w="248"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t>12</w:t>
            </w:r>
          </w:p>
        </w:tc>
        <w:tc>
          <w:tcPr>
            <w:tcW w:w="201" w:type="dxa"/>
            <w:tcBorders/>
          </w:tcPr>
          <w:p>
            <w:pPr>
              <w:pStyle w:val="Contenudetableau"/>
              <w:widowControl w:val="false"/>
              <w:jc w:val="center"/>
              <w:rPr>
                <w:sz w:val="16"/>
                <w:szCs w:val="16"/>
              </w:rPr>
            </w:pPr>
            <w:r>
              <w:rPr>
                <w:sz w:val="16"/>
                <w:szCs w:val="16"/>
              </w:rPr>
              <w:t>12</w:t>
            </w:r>
          </w:p>
        </w:tc>
        <w:tc>
          <w:tcPr>
            <w:tcW w:w="200" w:type="dxa"/>
            <w:tcBorders/>
          </w:tcPr>
          <w:p>
            <w:pPr>
              <w:pStyle w:val="Contenudetableau"/>
              <w:widowControl w:val="false"/>
              <w:jc w:val="center"/>
              <w:rPr>
                <w:sz w:val="16"/>
                <w:szCs w:val="16"/>
              </w:rPr>
            </w:pPr>
            <w:r>
              <w:rPr>
                <w:sz w:val="16"/>
                <w:szCs w:val="16"/>
              </w:rPr>
            </w:r>
          </w:p>
        </w:tc>
        <w:tc>
          <w:tcPr>
            <w:tcW w:w="200" w:type="dxa"/>
            <w:tcBorders/>
          </w:tcPr>
          <w:p>
            <w:pPr>
              <w:pStyle w:val="Contenudetableau"/>
              <w:widowControl w:val="false"/>
              <w:jc w:val="center"/>
              <w:rPr>
                <w:sz w:val="16"/>
                <w:szCs w:val="16"/>
              </w:rPr>
            </w:pPr>
            <w:r>
              <w:rPr>
                <w:sz w:val="16"/>
                <w:szCs w:val="16"/>
              </w:rPr>
            </w:r>
          </w:p>
        </w:tc>
        <w:tc>
          <w:tcPr>
            <w:tcW w:w="387" w:type="dxa"/>
            <w:tcBorders/>
          </w:tcPr>
          <w:p>
            <w:pPr>
              <w:pStyle w:val="Contenudetableau"/>
              <w:widowControl w:val="false"/>
              <w:jc w:val="center"/>
              <w:rPr>
                <w:sz w:val="16"/>
                <w:szCs w:val="16"/>
              </w:rPr>
            </w:pPr>
            <w:r>
              <w:rPr>
                <w:sz w:val="16"/>
                <w:szCs w:val="16"/>
              </w:rPr>
              <w:t xml:space="preserve">  </w:t>
            </w:r>
            <w:r>
              <w:rPr>
                <w:sz w:val="16"/>
                <w:szCs w:val="16"/>
              </w:rPr>
              <w:t>180</w:t>
            </w:r>
          </w:p>
        </w:tc>
        <w:tc>
          <w:tcPr>
            <w:tcW w:w="922" w:type="dxa"/>
            <w:tcBorders/>
          </w:tcPr>
          <w:p>
            <w:pPr>
              <w:pStyle w:val="Contenudetableau"/>
              <w:widowControl w:val="false"/>
              <w:jc w:val="center"/>
              <w:rPr>
                <w:sz w:val="16"/>
                <w:szCs w:val="16"/>
              </w:rPr>
            </w:pPr>
            <w:r>
              <w:rPr>
                <w:sz w:val="16"/>
                <w:szCs w:val="16"/>
              </w:rPr>
              <w:t xml:space="preserve">         </w:t>
            </w:r>
            <w:r>
              <w:rPr>
                <w:sz w:val="16"/>
                <w:szCs w:val="16"/>
              </w:rPr>
              <w:t>12</w:t>
            </w:r>
          </w:p>
        </w:tc>
        <w:tc>
          <w:tcPr>
            <w:tcW w:w="887" w:type="dxa"/>
            <w:tcBorders/>
          </w:tcPr>
          <w:p>
            <w:pPr>
              <w:pStyle w:val="Contenudetableau"/>
              <w:widowControl w:val="false"/>
              <w:jc w:val="center"/>
              <w:rPr>
                <w:sz w:val="16"/>
                <w:szCs w:val="16"/>
              </w:rPr>
            </w:pPr>
            <w:r>
              <w:rPr>
                <w:sz w:val="16"/>
                <w:szCs w:val="16"/>
              </w:rPr>
              <w:t>6</w:t>
            </w:r>
          </w:p>
        </w:tc>
      </w:tr>
    </w:tbl>
    <w:p>
      <w:pPr>
        <w:pStyle w:val="Normal"/>
        <w:jc w:val="both"/>
        <w:rPr/>
      </w:pPr>
      <w:r>
        <w:rPr/>
        <w:t xml:space="preserve">            </w:t>
      </w:r>
      <w:r>
        <w:rPr>
          <w:rFonts w:ascii="Times New Roman" w:hAnsi="Times New Roman"/>
          <w:sz w:val="22"/>
          <w:szCs w:val="22"/>
        </w:rPr>
        <w:t xml:space="preserve">  </w:t>
      </w:r>
      <w:r>
        <w:rPr>
          <w:rFonts w:ascii="Times New Roman" w:hAnsi="Times New Roman"/>
          <w:sz w:val="22"/>
          <w:szCs w:val="22"/>
        </w:rPr>
        <w:tab/>
      </w:r>
    </w:p>
    <w:p>
      <w:pPr>
        <w:pStyle w:val="Normal"/>
        <w:jc w:val="both"/>
        <w:rPr>
          <w:rFonts w:ascii="Times New Roman" w:hAnsi="Times New Roman"/>
          <w:sz w:val="22"/>
          <w:szCs w:val="22"/>
        </w:rPr>
      </w:pPr>
      <w:r>
        <w:rPr>
          <w:rFonts w:ascii="Times New Roman" w:hAnsi="Times New Roman"/>
          <w:sz w:val="22"/>
          <w:szCs w:val="22"/>
        </w:rPr>
        <w:tab/>
        <w:t>Résultats de l’épreuve 2 :</w:t>
      </w:r>
    </w:p>
    <w:p>
      <w:pPr>
        <w:pStyle w:val="Normal"/>
        <w:jc w:val="both"/>
        <w:rPr/>
      </w:pPr>
      <w:r>
        <w:rPr/>
      </w:r>
    </w:p>
    <w:tbl>
      <w:tblPr>
        <w:tblW w:w="9238" w:type="dxa"/>
        <w:jc w:val="center"/>
        <w:tblInd w:w="0" w:type="dxa"/>
        <w:tblLayout w:type="fixed"/>
        <w:tblCellMar>
          <w:top w:w="0" w:type="dxa"/>
          <w:left w:w="0" w:type="dxa"/>
          <w:bottom w:w="0" w:type="dxa"/>
          <w:right w:w="0" w:type="dxa"/>
        </w:tblCellMar>
        <w:tblLook w:val="04a0" w:noHBand="0" w:noVBand="1" w:firstColumn="1" w:lastRow="0" w:lastColumn="0" w:firstRow="1"/>
      </w:tblPr>
      <w:tblGrid>
        <w:gridCol w:w="848"/>
        <w:gridCol w:w="47"/>
        <w:gridCol w:w="110"/>
        <w:gridCol w:w="197"/>
        <w:gridCol w:w="110"/>
        <w:gridCol w:w="199"/>
        <w:gridCol w:w="198"/>
        <w:gridCol w:w="197"/>
        <w:gridCol w:w="199"/>
        <w:gridCol w:w="110"/>
        <w:gridCol w:w="197"/>
        <w:gridCol w:w="243"/>
        <w:gridCol w:w="242"/>
        <w:gridCol w:w="195"/>
        <w:gridCol w:w="205"/>
        <w:gridCol w:w="194"/>
        <w:gridCol w:w="242"/>
        <w:gridCol w:w="194"/>
        <w:gridCol w:w="207"/>
        <w:gridCol w:w="242"/>
        <w:gridCol w:w="201"/>
        <w:gridCol w:w="240"/>
        <w:gridCol w:w="242"/>
        <w:gridCol w:w="199"/>
        <w:gridCol w:w="199"/>
        <w:gridCol w:w="241"/>
        <w:gridCol w:w="243"/>
        <w:gridCol w:w="242"/>
        <w:gridCol w:w="197"/>
        <w:gridCol w:w="242"/>
        <w:gridCol w:w="243"/>
        <w:gridCol w:w="198"/>
        <w:gridCol w:w="384"/>
        <w:gridCol w:w="909"/>
        <w:gridCol w:w="879"/>
      </w:tblGrid>
      <w:tr>
        <w:trPr>
          <w:trHeight w:val="216" w:hRule="atLeast"/>
        </w:trPr>
        <w:tc>
          <w:tcPr>
            <w:tcW w:w="848" w:type="dxa"/>
            <w:tcBorders/>
          </w:tcPr>
          <w:p>
            <w:pPr>
              <w:pStyle w:val="Contenudetableau"/>
              <w:widowControl w:val="false"/>
              <w:rPr>
                <w:sz w:val="16"/>
                <w:szCs w:val="16"/>
              </w:rPr>
            </w:pPr>
            <w:r>
              <w:rPr>
                <w:sz w:val="16"/>
                <w:szCs w:val="16"/>
              </w:rPr>
              <w:t xml:space="preserve"> </w:t>
            </w:r>
            <w:r>
              <w:rPr>
                <w:sz w:val="16"/>
                <w:szCs w:val="16"/>
              </w:rPr>
              <w:t>élève</w:t>
            </w:r>
          </w:p>
        </w:tc>
        <w:tc>
          <w:tcPr>
            <w:tcW w:w="47" w:type="dxa"/>
            <w:tcBorders/>
          </w:tcPr>
          <w:p>
            <w:pPr>
              <w:pStyle w:val="Contenudetableau"/>
              <w:widowControl w:val="false"/>
              <w:rPr>
                <w:sz w:val="16"/>
                <w:szCs w:val="16"/>
              </w:rPr>
            </w:pPr>
            <w:r>
              <w:rPr>
                <w:sz w:val="16"/>
                <w:szCs w:val="16"/>
              </w:rPr>
            </w:r>
          </w:p>
        </w:tc>
        <w:tc>
          <w:tcPr>
            <w:tcW w:w="110" w:type="dxa"/>
            <w:tcBorders/>
          </w:tcPr>
          <w:p>
            <w:pPr>
              <w:pStyle w:val="Contenudetableau"/>
              <w:widowControl w:val="false"/>
              <w:jc w:val="center"/>
              <w:rPr>
                <w:sz w:val="16"/>
                <w:szCs w:val="16"/>
              </w:rPr>
            </w:pPr>
            <w:r>
              <w:rPr>
                <w:sz w:val="16"/>
                <w:szCs w:val="16"/>
              </w:rPr>
              <w:t>1</w:t>
            </w:r>
          </w:p>
        </w:tc>
        <w:tc>
          <w:tcPr>
            <w:tcW w:w="197" w:type="dxa"/>
            <w:tcBorders/>
          </w:tcPr>
          <w:p>
            <w:pPr>
              <w:pStyle w:val="Contenudetableau"/>
              <w:widowControl w:val="false"/>
              <w:jc w:val="center"/>
              <w:rPr>
                <w:sz w:val="16"/>
                <w:szCs w:val="16"/>
              </w:rPr>
            </w:pPr>
            <w:r>
              <w:rPr>
                <w:sz w:val="16"/>
                <w:szCs w:val="16"/>
              </w:rPr>
              <w:t>2</w:t>
            </w:r>
          </w:p>
        </w:tc>
        <w:tc>
          <w:tcPr>
            <w:tcW w:w="110" w:type="dxa"/>
            <w:tcBorders/>
          </w:tcPr>
          <w:p>
            <w:pPr>
              <w:pStyle w:val="Contenudetableau"/>
              <w:widowControl w:val="false"/>
              <w:jc w:val="center"/>
              <w:rPr>
                <w:sz w:val="16"/>
                <w:szCs w:val="16"/>
              </w:rPr>
            </w:pPr>
            <w:r>
              <w:rPr>
                <w:sz w:val="16"/>
                <w:szCs w:val="16"/>
              </w:rPr>
              <w:t>3</w:t>
            </w:r>
          </w:p>
        </w:tc>
        <w:tc>
          <w:tcPr>
            <w:tcW w:w="199" w:type="dxa"/>
            <w:tcBorders/>
          </w:tcPr>
          <w:p>
            <w:pPr>
              <w:pStyle w:val="Contenudetableau"/>
              <w:widowControl w:val="false"/>
              <w:jc w:val="center"/>
              <w:rPr>
                <w:sz w:val="16"/>
                <w:szCs w:val="16"/>
              </w:rPr>
            </w:pPr>
            <w:r>
              <w:rPr>
                <w:sz w:val="16"/>
                <w:szCs w:val="16"/>
              </w:rPr>
              <w:t>4</w:t>
            </w:r>
          </w:p>
        </w:tc>
        <w:tc>
          <w:tcPr>
            <w:tcW w:w="198" w:type="dxa"/>
            <w:tcBorders/>
          </w:tcPr>
          <w:p>
            <w:pPr>
              <w:pStyle w:val="Contenudetableau"/>
              <w:widowControl w:val="false"/>
              <w:jc w:val="center"/>
              <w:rPr>
                <w:sz w:val="16"/>
                <w:szCs w:val="16"/>
              </w:rPr>
            </w:pPr>
            <w:r>
              <w:rPr>
                <w:sz w:val="16"/>
                <w:szCs w:val="16"/>
              </w:rPr>
              <w:t>5</w:t>
            </w:r>
          </w:p>
        </w:tc>
        <w:tc>
          <w:tcPr>
            <w:tcW w:w="197" w:type="dxa"/>
            <w:tcBorders/>
          </w:tcPr>
          <w:p>
            <w:pPr>
              <w:pStyle w:val="Contenudetableau"/>
              <w:widowControl w:val="false"/>
              <w:jc w:val="center"/>
              <w:rPr>
                <w:sz w:val="16"/>
                <w:szCs w:val="16"/>
              </w:rPr>
            </w:pPr>
            <w:r>
              <w:rPr>
                <w:sz w:val="16"/>
                <w:szCs w:val="16"/>
              </w:rPr>
              <w:t xml:space="preserve"> </w:t>
            </w:r>
            <w:r>
              <w:rPr>
                <w:sz w:val="16"/>
                <w:szCs w:val="16"/>
              </w:rPr>
              <w:t xml:space="preserve">6   </w:t>
            </w:r>
          </w:p>
        </w:tc>
        <w:tc>
          <w:tcPr>
            <w:tcW w:w="199" w:type="dxa"/>
            <w:tcBorders/>
          </w:tcPr>
          <w:p>
            <w:pPr>
              <w:pStyle w:val="Contenudetableau"/>
              <w:widowControl w:val="false"/>
              <w:jc w:val="center"/>
              <w:rPr>
                <w:sz w:val="16"/>
                <w:szCs w:val="16"/>
              </w:rPr>
            </w:pPr>
            <w:r>
              <w:rPr>
                <w:sz w:val="16"/>
                <w:szCs w:val="16"/>
              </w:rPr>
              <w:t xml:space="preserve">  </w:t>
            </w:r>
            <w:r>
              <w:rPr>
                <w:sz w:val="16"/>
                <w:szCs w:val="16"/>
              </w:rPr>
              <w:t>7</w:t>
            </w:r>
          </w:p>
        </w:tc>
        <w:tc>
          <w:tcPr>
            <w:tcW w:w="110" w:type="dxa"/>
            <w:tcBorders/>
          </w:tcPr>
          <w:p>
            <w:pPr>
              <w:pStyle w:val="Contenudetableau"/>
              <w:widowControl w:val="false"/>
              <w:jc w:val="center"/>
              <w:rPr>
                <w:sz w:val="16"/>
                <w:szCs w:val="16"/>
              </w:rPr>
            </w:pPr>
            <w:r>
              <w:rPr>
                <w:sz w:val="16"/>
                <w:szCs w:val="16"/>
              </w:rPr>
              <w:t>8</w:t>
            </w:r>
          </w:p>
        </w:tc>
        <w:tc>
          <w:tcPr>
            <w:tcW w:w="197" w:type="dxa"/>
            <w:tcBorders/>
          </w:tcPr>
          <w:p>
            <w:pPr>
              <w:pStyle w:val="Contenudetableau"/>
              <w:widowControl w:val="false"/>
              <w:jc w:val="center"/>
              <w:rPr>
                <w:sz w:val="16"/>
                <w:szCs w:val="16"/>
              </w:rPr>
            </w:pPr>
            <w:r>
              <w:rPr>
                <w:sz w:val="16"/>
                <w:szCs w:val="16"/>
              </w:rPr>
              <w:t>9</w:t>
            </w:r>
          </w:p>
        </w:tc>
        <w:tc>
          <w:tcPr>
            <w:tcW w:w="243" w:type="dxa"/>
            <w:tcBorders/>
          </w:tcPr>
          <w:p>
            <w:pPr>
              <w:pStyle w:val="Contenudetableau"/>
              <w:widowControl w:val="false"/>
              <w:jc w:val="center"/>
              <w:rPr>
                <w:sz w:val="16"/>
                <w:szCs w:val="16"/>
              </w:rPr>
            </w:pPr>
            <w:r>
              <w:rPr>
                <w:sz w:val="16"/>
                <w:szCs w:val="16"/>
              </w:rPr>
              <w:t xml:space="preserve"> </w:t>
            </w:r>
            <w:r>
              <w:rPr>
                <w:sz w:val="16"/>
                <w:szCs w:val="16"/>
              </w:rPr>
              <w:t xml:space="preserve">10    </w:t>
            </w:r>
          </w:p>
        </w:tc>
        <w:tc>
          <w:tcPr>
            <w:tcW w:w="242" w:type="dxa"/>
            <w:tcBorders/>
          </w:tcPr>
          <w:p>
            <w:pPr>
              <w:pStyle w:val="Contenudetableau"/>
              <w:widowControl w:val="false"/>
              <w:jc w:val="center"/>
              <w:rPr>
                <w:sz w:val="16"/>
                <w:szCs w:val="16"/>
              </w:rPr>
            </w:pPr>
            <w:r>
              <w:rPr>
                <w:sz w:val="16"/>
                <w:szCs w:val="16"/>
              </w:rPr>
              <w:t>11</w:t>
            </w:r>
          </w:p>
        </w:tc>
        <w:tc>
          <w:tcPr>
            <w:tcW w:w="195" w:type="dxa"/>
            <w:tcBorders/>
          </w:tcPr>
          <w:p>
            <w:pPr>
              <w:pStyle w:val="Contenudetableau"/>
              <w:widowControl w:val="false"/>
              <w:jc w:val="center"/>
              <w:rPr>
                <w:sz w:val="16"/>
                <w:szCs w:val="16"/>
              </w:rPr>
            </w:pPr>
            <w:r>
              <w:rPr>
                <w:sz w:val="16"/>
                <w:szCs w:val="16"/>
              </w:rPr>
              <w:t>12</w:t>
            </w:r>
          </w:p>
        </w:tc>
        <w:tc>
          <w:tcPr>
            <w:tcW w:w="205" w:type="dxa"/>
            <w:tcBorders/>
          </w:tcPr>
          <w:p>
            <w:pPr>
              <w:pStyle w:val="Contenudetableau"/>
              <w:widowControl w:val="false"/>
              <w:jc w:val="center"/>
              <w:rPr>
                <w:sz w:val="16"/>
                <w:szCs w:val="16"/>
              </w:rPr>
            </w:pPr>
            <w:r>
              <w:rPr>
                <w:sz w:val="16"/>
                <w:szCs w:val="16"/>
              </w:rPr>
              <w:t>13</w:t>
            </w:r>
          </w:p>
        </w:tc>
        <w:tc>
          <w:tcPr>
            <w:tcW w:w="194" w:type="dxa"/>
            <w:tcBorders/>
          </w:tcPr>
          <w:p>
            <w:pPr>
              <w:pStyle w:val="Contenudetableau"/>
              <w:widowControl w:val="false"/>
              <w:jc w:val="center"/>
              <w:rPr>
                <w:sz w:val="16"/>
                <w:szCs w:val="16"/>
              </w:rPr>
            </w:pPr>
            <w:r>
              <w:rPr>
                <w:sz w:val="16"/>
                <w:szCs w:val="16"/>
              </w:rPr>
              <w:t>14</w:t>
            </w:r>
          </w:p>
        </w:tc>
        <w:tc>
          <w:tcPr>
            <w:tcW w:w="242" w:type="dxa"/>
            <w:tcBorders/>
          </w:tcPr>
          <w:p>
            <w:pPr>
              <w:pStyle w:val="Contenudetableau"/>
              <w:widowControl w:val="false"/>
              <w:jc w:val="center"/>
              <w:rPr>
                <w:sz w:val="16"/>
                <w:szCs w:val="16"/>
              </w:rPr>
            </w:pPr>
            <w:r>
              <w:rPr>
                <w:sz w:val="16"/>
                <w:szCs w:val="16"/>
              </w:rPr>
              <w:t xml:space="preserve"> </w:t>
            </w:r>
            <w:r>
              <w:rPr>
                <w:sz w:val="16"/>
                <w:szCs w:val="16"/>
              </w:rPr>
              <w:t>15</w:t>
            </w:r>
          </w:p>
        </w:tc>
        <w:tc>
          <w:tcPr>
            <w:tcW w:w="194" w:type="dxa"/>
            <w:tcBorders/>
          </w:tcPr>
          <w:p>
            <w:pPr>
              <w:pStyle w:val="Contenudetableau"/>
              <w:widowControl w:val="false"/>
              <w:jc w:val="center"/>
              <w:rPr>
                <w:sz w:val="16"/>
                <w:szCs w:val="16"/>
              </w:rPr>
            </w:pPr>
            <w:r>
              <w:rPr>
                <w:sz w:val="16"/>
                <w:szCs w:val="16"/>
              </w:rPr>
              <w:t>16</w:t>
            </w:r>
          </w:p>
        </w:tc>
        <w:tc>
          <w:tcPr>
            <w:tcW w:w="207" w:type="dxa"/>
            <w:tcBorders/>
          </w:tcPr>
          <w:p>
            <w:pPr>
              <w:pStyle w:val="Contenudetableau"/>
              <w:widowControl w:val="false"/>
              <w:jc w:val="center"/>
              <w:rPr>
                <w:sz w:val="16"/>
                <w:szCs w:val="16"/>
              </w:rPr>
            </w:pPr>
            <w:r>
              <w:rPr>
                <w:sz w:val="16"/>
                <w:szCs w:val="16"/>
              </w:rPr>
              <w:t>17</w:t>
            </w:r>
          </w:p>
        </w:tc>
        <w:tc>
          <w:tcPr>
            <w:tcW w:w="242" w:type="dxa"/>
            <w:tcBorders/>
          </w:tcPr>
          <w:p>
            <w:pPr>
              <w:pStyle w:val="Contenudetableau"/>
              <w:widowControl w:val="false"/>
              <w:jc w:val="center"/>
              <w:rPr>
                <w:sz w:val="16"/>
                <w:szCs w:val="16"/>
              </w:rPr>
            </w:pPr>
            <w:r>
              <w:rPr>
                <w:sz w:val="16"/>
                <w:szCs w:val="16"/>
              </w:rPr>
              <w:t xml:space="preserve"> </w:t>
            </w:r>
            <w:r>
              <w:rPr>
                <w:sz w:val="16"/>
                <w:szCs w:val="16"/>
              </w:rPr>
              <w:t>18</w:t>
            </w:r>
          </w:p>
        </w:tc>
        <w:tc>
          <w:tcPr>
            <w:tcW w:w="201" w:type="dxa"/>
            <w:tcBorders/>
          </w:tcPr>
          <w:p>
            <w:pPr>
              <w:pStyle w:val="Contenudetableau"/>
              <w:widowControl w:val="false"/>
              <w:jc w:val="center"/>
              <w:rPr>
                <w:sz w:val="16"/>
                <w:szCs w:val="16"/>
              </w:rPr>
            </w:pPr>
            <w:r>
              <w:rPr>
                <w:sz w:val="16"/>
                <w:szCs w:val="16"/>
              </w:rPr>
              <w:t>19</w:t>
            </w:r>
          </w:p>
        </w:tc>
        <w:tc>
          <w:tcPr>
            <w:tcW w:w="240" w:type="dxa"/>
            <w:tcBorders/>
          </w:tcPr>
          <w:p>
            <w:pPr>
              <w:pStyle w:val="Contenudetableau"/>
              <w:widowControl w:val="false"/>
              <w:jc w:val="center"/>
              <w:rPr>
                <w:sz w:val="16"/>
                <w:szCs w:val="16"/>
              </w:rPr>
            </w:pPr>
            <w:r>
              <w:rPr>
                <w:sz w:val="16"/>
                <w:szCs w:val="16"/>
              </w:rPr>
              <w:t>20</w:t>
            </w:r>
          </w:p>
        </w:tc>
        <w:tc>
          <w:tcPr>
            <w:tcW w:w="242" w:type="dxa"/>
            <w:tcBorders/>
          </w:tcPr>
          <w:p>
            <w:pPr>
              <w:pStyle w:val="Contenudetableau"/>
              <w:widowControl w:val="false"/>
              <w:jc w:val="center"/>
              <w:rPr>
                <w:sz w:val="16"/>
                <w:szCs w:val="16"/>
              </w:rPr>
            </w:pPr>
            <w:r>
              <w:rPr>
                <w:sz w:val="16"/>
                <w:szCs w:val="16"/>
              </w:rPr>
              <w:t xml:space="preserve"> </w:t>
            </w:r>
            <w:r>
              <w:rPr>
                <w:sz w:val="16"/>
                <w:szCs w:val="16"/>
              </w:rPr>
              <w:t>21</w:t>
            </w:r>
          </w:p>
        </w:tc>
        <w:tc>
          <w:tcPr>
            <w:tcW w:w="199" w:type="dxa"/>
            <w:tcBorders/>
          </w:tcPr>
          <w:p>
            <w:pPr>
              <w:pStyle w:val="Contenudetableau"/>
              <w:widowControl w:val="false"/>
              <w:jc w:val="center"/>
              <w:rPr>
                <w:sz w:val="16"/>
                <w:szCs w:val="16"/>
              </w:rPr>
            </w:pPr>
            <w:r>
              <w:rPr>
                <w:sz w:val="16"/>
                <w:szCs w:val="16"/>
              </w:rPr>
              <w:t>22</w:t>
            </w:r>
          </w:p>
        </w:tc>
        <w:tc>
          <w:tcPr>
            <w:tcW w:w="199" w:type="dxa"/>
            <w:tcBorders/>
          </w:tcPr>
          <w:p>
            <w:pPr>
              <w:pStyle w:val="Contenudetableau"/>
              <w:widowControl w:val="false"/>
              <w:jc w:val="center"/>
              <w:rPr>
                <w:sz w:val="16"/>
                <w:szCs w:val="16"/>
              </w:rPr>
            </w:pPr>
            <w:r>
              <w:rPr>
                <w:sz w:val="16"/>
                <w:szCs w:val="16"/>
              </w:rPr>
              <w:t>23</w:t>
            </w:r>
          </w:p>
        </w:tc>
        <w:tc>
          <w:tcPr>
            <w:tcW w:w="241" w:type="dxa"/>
            <w:tcBorders/>
          </w:tcPr>
          <w:p>
            <w:pPr>
              <w:pStyle w:val="Contenudetableau"/>
              <w:widowControl w:val="false"/>
              <w:jc w:val="center"/>
              <w:rPr>
                <w:sz w:val="16"/>
                <w:szCs w:val="16"/>
              </w:rPr>
            </w:pPr>
            <w:r>
              <w:rPr>
                <w:sz w:val="16"/>
                <w:szCs w:val="16"/>
              </w:rPr>
              <w:t>24</w:t>
            </w:r>
          </w:p>
        </w:tc>
        <w:tc>
          <w:tcPr>
            <w:tcW w:w="243" w:type="dxa"/>
            <w:tcBorders/>
          </w:tcPr>
          <w:p>
            <w:pPr>
              <w:pStyle w:val="Contenudetableau"/>
              <w:widowControl w:val="false"/>
              <w:jc w:val="center"/>
              <w:rPr>
                <w:sz w:val="16"/>
                <w:szCs w:val="16"/>
              </w:rPr>
            </w:pPr>
            <w:r>
              <w:rPr>
                <w:sz w:val="16"/>
                <w:szCs w:val="16"/>
              </w:rPr>
              <w:t xml:space="preserve"> </w:t>
            </w:r>
            <w:r>
              <w:rPr>
                <w:sz w:val="16"/>
                <w:szCs w:val="16"/>
              </w:rPr>
              <w:t>25</w:t>
            </w:r>
          </w:p>
        </w:tc>
        <w:tc>
          <w:tcPr>
            <w:tcW w:w="242" w:type="dxa"/>
            <w:tcBorders/>
          </w:tcPr>
          <w:p>
            <w:pPr>
              <w:pStyle w:val="Contenudetableau"/>
              <w:widowControl w:val="false"/>
              <w:jc w:val="center"/>
              <w:rPr>
                <w:sz w:val="16"/>
                <w:szCs w:val="16"/>
              </w:rPr>
            </w:pPr>
            <w:r>
              <w:rPr>
                <w:sz w:val="16"/>
                <w:szCs w:val="16"/>
              </w:rPr>
              <w:t xml:space="preserve"> </w:t>
            </w:r>
            <w:r>
              <w:rPr>
                <w:sz w:val="16"/>
                <w:szCs w:val="16"/>
              </w:rPr>
              <w:t>26</w:t>
            </w:r>
          </w:p>
        </w:tc>
        <w:tc>
          <w:tcPr>
            <w:tcW w:w="197" w:type="dxa"/>
            <w:tcBorders/>
          </w:tcPr>
          <w:p>
            <w:pPr>
              <w:pStyle w:val="Contenudetableau"/>
              <w:widowControl w:val="false"/>
              <w:jc w:val="center"/>
              <w:rPr>
                <w:sz w:val="16"/>
                <w:szCs w:val="16"/>
              </w:rPr>
            </w:pPr>
            <w:r>
              <w:rPr>
                <w:sz w:val="16"/>
                <w:szCs w:val="16"/>
              </w:rPr>
              <w:t>27</w:t>
            </w:r>
          </w:p>
        </w:tc>
        <w:tc>
          <w:tcPr>
            <w:tcW w:w="242" w:type="dxa"/>
            <w:tcBorders/>
          </w:tcPr>
          <w:p>
            <w:pPr>
              <w:pStyle w:val="Contenudetableau"/>
              <w:widowControl w:val="false"/>
              <w:jc w:val="center"/>
              <w:rPr>
                <w:sz w:val="16"/>
                <w:szCs w:val="16"/>
              </w:rPr>
            </w:pPr>
            <w:r>
              <w:rPr>
                <w:sz w:val="16"/>
                <w:szCs w:val="16"/>
              </w:rPr>
              <w:t>28</w:t>
            </w:r>
          </w:p>
        </w:tc>
        <w:tc>
          <w:tcPr>
            <w:tcW w:w="243" w:type="dxa"/>
            <w:tcBorders/>
          </w:tcPr>
          <w:p>
            <w:pPr>
              <w:pStyle w:val="Contenudetableau"/>
              <w:widowControl w:val="false"/>
              <w:jc w:val="center"/>
              <w:rPr>
                <w:sz w:val="16"/>
                <w:szCs w:val="16"/>
              </w:rPr>
            </w:pPr>
            <w:r>
              <w:rPr>
                <w:sz w:val="16"/>
                <w:szCs w:val="16"/>
              </w:rPr>
              <w:t>29</w:t>
            </w:r>
          </w:p>
        </w:tc>
        <w:tc>
          <w:tcPr>
            <w:tcW w:w="198" w:type="dxa"/>
            <w:tcBorders/>
          </w:tcPr>
          <w:p>
            <w:pPr>
              <w:pStyle w:val="Contenudetableau"/>
              <w:widowControl w:val="false"/>
              <w:jc w:val="center"/>
              <w:rPr>
                <w:sz w:val="16"/>
                <w:szCs w:val="16"/>
              </w:rPr>
            </w:pPr>
            <w:r>
              <w:rPr>
                <w:sz w:val="16"/>
                <w:szCs w:val="16"/>
              </w:rPr>
              <w:t>30</w:t>
            </w:r>
          </w:p>
        </w:tc>
        <w:tc>
          <w:tcPr>
            <w:tcW w:w="384" w:type="dxa"/>
            <w:tcBorders/>
          </w:tcPr>
          <w:p>
            <w:pPr>
              <w:pStyle w:val="Contenudetableau"/>
              <w:widowControl w:val="false"/>
              <w:jc w:val="center"/>
              <w:rPr>
                <w:sz w:val="16"/>
                <w:szCs w:val="16"/>
              </w:rPr>
            </w:pPr>
            <w:r>
              <w:rPr>
                <w:sz w:val="16"/>
                <w:szCs w:val="16"/>
              </w:rPr>
              <w:t>Total</w:t>
            </w:r>
          </w:p>
        </w:tc>
        <w:tc>
          <w:tcPr>
            <w:tcW w:w="909" w:type="dxa"/>
            <w:tcBorders/>
          </w:tcPr>
          <w:p>
            <w:pPr>
              <w:pStyle w:val="Contenudetableau"/>
              <w:widowControl w:val="false"/>
              <w:jc w:val="center"/>
              <w:rPr>
                <w:sz w:val="16"/>
                <w:szCs w:val="16"/>
              </w:rPr>
            </w:pPr>
            <w:r>
              <w:rPr>
                <w:sz w:val="16"/>
                <w:szCs w:val="16"/>
              </w:rPr>
              <w:t>Moyenne/15</w:t>
            </w:r>
          </w:p>
        </w:tc>
        <w:tc>
          <w:tcPr>
            <w:tcW w:w="879" w:type="dxa"/>
            <w:tcBorders/>
          </w:tcPr>
          <w:p>
            <w:pPr>
              <w:pStyle w:val="Contenudetableau"/>
              <w:widowControl w:val="false"/>
              <w:jc w:val="center"/>
              <w:rPr>
                <w:sz w:val="16"/>
                <w:szCs w:val="16"/>
              </w:rPr>
            </w:pPr>
            <w:r>
              <w:rPr>
                <w:sz w:val="16"/>
                <w:szCs w:val="16"/>
              </w:rPr>
              <w:t>Moyenne/30</w:t>
            </w:r>
          </w:p>
        </w:tc>
      </w:tr>
      <w:tr>
        <w:trPr>
          <w:trHeight w:val="216" w:hRule="atLeast"/>
        </w:trPr>
        <w:tc>
          <w:tcPr>
            <w:tcW w:w="848" w:type="dxa"/>
            <w:tcBorders/>
          </w:tcPr>
          <w:p>
            <w:pPr>
              <w:pStyle w:val="Contenudetableau"/>
              <w:widowControl w:val="false"/>
              <w:rPr>
                <w:sz w:val="16"/>
                <w:szCs w:val="16"/>
              </w:rPr>
            </w:pPr>
            <w:r>
              <w:rPr>
                <w:sz w:val="16"/>
                <w:szCs w:val="16"/>
              </w:rPr>
              <w:t xml:space="preserve"> </w:t>
            </w:r>
            <w:r>
              <w:rPr>
                <w:sz w:val="16"/>
                <w:szCs w:val="16"/>
              </w:rPr>
              <w:t>note</w:t>
            </w:r>
          </w:p>
        </w:tc>
        <w:tc>
          <w:tcPr>
            <w:tcW w:w="47" w:type="dxa"/>
            <w:tcBorders/>
          </w:tcPr>
          <w:p>
            <w:pPr>
              <w:pStyle w:val="Contenudetableau"/>
              <w:widowControl w:val="false"/>
              <w:rPr>
                <w:sz w:val="16"/>
                <w:szCs w:val="16"/>
              </w:rPr>
            </w:pPr>
            <w:r>
              <w:rPr>
                <w:sz w:val="16"/>
                <w:szCs w:val="16"/>
              </w:rPr>
            </w:r>
          </w:p>
        </w:tc>
        <w:tc>
          <w:tcPr>
            <w:tcW w:w="110"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12</w:t>
            </w:r>
          </w:p>
        </w:tc>
        <w:tc>
          <w:tcPr>
            <w:tcW w:w="110"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t>12</w:t>
            </w:r>
          </w:p>
        </w:tc>
        <w:tc>
          <w:tcPr>
            <w:tcW w:w="197"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110"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12</w:t>
            </w:r>
          </w:p>
        </w:tc>
        <w:tc>
          <w:tcPr>
            <w:tcW w:w="243"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5" w:type="dxa"/>
            <w:tcBorders/>
          </w:tcPr>
          <w:p>
            <w:pPr>
              <w:pStyle w:val="Contenudetableau"/>
              <w:widowControl w:val="false"/>
              <w:jc w:val="center"/>
              <w:rPr>
                <w:sz w:val="16"/>
                <w:szCs w:val="16"/>
              </w:rPr>
            </w:pPr>
            <w:r>
              <w:rPr>
                <w:sz w:val="16"/>
                <w:szCs w:val="16"/>
              </w:rPr>
            </w:r>
          </w:p>
        </w:tc>
        <w:tc>
          <w:tcPr>
            <w:tcW w:w="205" w:type="dxa"/>
            <w:tcBorders/>
          </w:tcPr>
          <w:p>
            <w:pPr>
              <w:pStyle w:val="Contenudetableau"/>
              <w:widowControl w:val="false"/>
              <w:jc w:val="center"/>
              <w:rPr>
                <w:sz w:val="16"/>
                <w:szCs w:val="16"/>
              </w:rPr>
            </w:pPr>
            <w:r>
              <w:rPr>
                <w:sz w:val="16"/>
                <w:szCs w:val="16"/>
              </w:rPr>
              <w:t>12</w:t>
            </w:r>
          </w:p>
        </w:tc>
        <w:tc>
          <w:tcPr>
            <w:tcW w:w="194"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4" w:type="dxa"/>
            <w:tcBorders/>
          </w:tcPr>
          <w:p>
            <w:pPr>
              <w:pStyle w:val="Contenudetableau"/>
              <w:widowControl w:val="false"/>
              <w:jc w:val="center"/>
              <w:rPr>
                <w:sz w:val="16"/>
                <w:szCs w:val="16"/>
              </w:rPr>
            </w:pPr>
            <w:r>
              <w:rPr>
                <w:sz w:val="16"/>
                <w:szCs w:val="16"/>
              </w:rPr>
            </w:r>
          </w:p>
        </w:tc>
        <w:tc>
          <w:tcPr>
            <w:tcW w:w="207" w:type="dxa"/>
            <w:tcBorders/>
          </w:tcPr>
          <w:p>
            <w:pPr>
              <w:pStyle w:val="Contenudetableau"/>
              <w:widowControl w:val="false"/>
              <w:jc w:val="center"/>
              <w:rPr>
                <w:sz w:val="16"/>
                <w:szCs w:val="16"/>
              </w:rPr>
            </w:pPr>
            <w:r>
              <w:rPr>
                <w:sz w:val="16"/>
                <w:szCs w:val="16"/>
              </w:rPr>
              <w:t>12</w:t>
            </w:r>
          </w:p>
        </w:tc>
        <w:tc>
          <w:tcPr>
            <w:tcW w:w="242"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r>
          </w:p>
        </w:tc>
        <w:tc>
          <w:tcPr>
            <w:tcW w:w="240" w:type="dxa"/>
            <w:tcBorders/>
          </w:tcPr>
          <w:p>
            <w:pPr>
              <w:pStyle w:val="Contenudetableau"/>
              <w:widowControl w:val="false"/>
              <w:jc w:val="center"/>
              <w:rPr>
                <w:sz w:val="16"/>
                <w:szCs w:val="16"/>
              </w:rPr>
            </w:pPr>
            <w:r>
              <w:rPr>
                <w:sz w:val="16"/>
                <w:szCs w:val="16"/>
              </w:rPr>
              <w:t xml:space="preserve"> </w:t>
            </w:r>
            <w:r>
              <w:rPr>
                <w:sz w:val="16"/>
                <w:szCs w:val="16"/>
              </w:rPr>
              <w:t>12</w:t>
            </w:r>
          </w:p>
        </w:tc>
        <w:tc>
          <w:tcPr>
            <w:tcW w:w="242"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241" w:type="dxa"/>
            <w:tcBorders/>
          </w:tcPr>
          <w:p>
            <w:pPr>
              <w:pStyle w:val="Contenudetableau"/>
              <w:widowControl w:val="false"/>
              <w:jc w:val="center"/>
              <w:rPr>
                <w:sz w:val="16"/>
                <w:szCs w:val="16"/>
              </w:rPr>
            </w:pPr>
            <w:r>
              <w:rPr>
                <w:sz w:val="16"/>
                <w:szCs w:val="16"/>
              </w:rPr>
              <w:t xml:space="preserve"> </w:t>
            </w:r>
            <w:r>
              <w:rPr>
                <w:sz w:val="16"/>
                <w:szCs w:val="16"/>
              </w:rPr>
              <w:t>12</w:t>
            </w:r>
          </w:p>
        </w:tc>
        <w:tc>
          <w:tcPr>
            <w:tcW w:w="243"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7"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243" w:type="dxa"/>
            <w:tcBorders/>
          </w:tcPr>
          <w:p>
            <w:pPr>
              <w:pStyle w:val="Contenudetableau"/>
              <w:widowControl w:val="false"/>
              <w:jc w:val="center"/>
              <w:rPr>
                <w:sz w:val="16"/>
                <w:szCs w:val="16"/>
              </w:rPr>
            </w:pPr>
            <w:r>
              <w:rPr>
                <w:sz w:val="16"/>
                <w:szCs w:val="16"/>
              </w:rPr>
              <w:t xml:space="preserve"> </w:t>
            </w: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384" w:type="dxa"/>
            <w:tcBorders/>
          </w:tcPr>
          <w:p>
            <w:pPr>
              <w:pStyle w:val="Contenudetableau"/>
              <w:widowControl w:val="false"/>
              <w:rPr>
                <w:sz w:val="16"/>
                <w:szCs w:val="16"/>
              </w:rPr>
            </w:pPr>
            <w:r>
              <w:rPr>
                <w:sz w:val="16"/>
                <w:szCs w:val="16"/>
              </w:rPr>
              <w:t xml:space="preserve">  </w:t>
            </w:r>
            <w:r>
              <w:rPr>
                <w:sz w:val="16"/>
                <w:szCs w:val="16"/>
              </w:rPr>
              <w:t>180</w:t>
            </w:r>
          </w:p>
        </w:tc>
        <w:tc>
          <w:tcPr>
            <w:tcW w:w="909" w:type="dxa"/>
            <w:tcBorders/>
          </w:tcPr>
          <w:p>
            <w:pPr>
              <w:pStyle w:val="Contenudetableau"/>
              <w:widowControl w:val="false"/>
              <w:rPr>
                <w:sz w:val="16"/>
                <w:szCs w:val="16"/>
              </w:rPr>
            </w:pPr>
            <w:r>
              <w:rPr>
                <w:sz w:val="16"/>
                <w:szCs w:val="16"/>
              </w:rPr>
              <w:t xml:space="preserve">        </w:t>
            </w:r>
            <w:r>
              <w:rPr>
                <w:sz w:val="16"/>
                <w:szCs w:val="16"/>
              </w:rPr>
              <w:t>12</w:t>
            </w:r>
          </w:p>
        </w:tc>
        <w:tc>
          <w:tcPr>
            <w:tcW w:w="879" w:type="dxa"/>
            <w:tcBorders/>
          </w:tcPr>
          <w:p>
            <w:pPr>
              <w:pStyle w:val="Contenudetableau"/>
              <w:widowControl w:val="false"/>
              <w:rPr>
                <w:sz w:val="16"/>
                <w:szCs w:val="16"/>
              </w:rPr>
            </w:pPr>
            <w:r>
              <w:rPr>
                <w:sz w:val="16"/>
                <w:szCs w:val="16"/>
              </w:rPr>
              <w:t xml:space="preserve">        </w:t>
            </w:r>
            <w:r>
              <w:rPr>
                <w:sz w:val="16"/>
                <w:szCs w:val="16"/>
              </w:rPr>
              <w:t>6</w:t>
            </w:r>
          </w:p>
        </w:tc>
      </w:tr>
      <w:tr>
        <w:trPr>
          <w:trHeight w:val="216" w:hRule="atLeast"/>
        </w:trPr>
        <w:tc>
          <w:tcPr>
            <w:tcW w:w="848" w:type="dxa"/>
            <w:tcBorders/>
          </w:tcPr>
          <w:p>
            <w:pPr>
              <w:pStyle w:val="Contenudetableau"/>
              <w:widowControl w:val="false"/>
              <w:rPr>
                <w:sz w:val="16"/>
                <w:szCs w:val="16"/>
              </w:rPr>
            </w:pPr>
            <w:r>
              <w:rPr>
                <w:sz w:val="16"/>
                <w:szCs w:val="16"/>
              </w:rPr>
              <w:t>Moyennage</w:t>
            </w:r>
          </w:p>
        </w:tc>
        <w:tc>
          <w:tcPr>
            <w:tcW w:w="47" w:type="dxa"/>
            <w:tcBorders/>
          </w:tcPr>
          <w:p>
            <w:pPr>
              <w:pStyle w:val="Contenudetableau"/>
              <w:widowControl w:val="false"/>
              <w:rPr>
                <w:sz w:val="16"/>
                <w:szCs w:val="16"/>
              </w:rPr>
            </w:pPr>
            <w:r>
              <w:rPr>
                <w:sz w:val="16"/>
                <w:szCs w:val="16"/>
              </w:rPr>
            </w:r>
          </w:p>
        </w:tc>
        <w:tc>
          <w:tcPr>
            <w:tcW w:w="110"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12</w:t>
            </w:r>
          </w:p>
        </w:tc>
        <w:tc>
          <w:tcPr>
            <w:tcW w:w="110"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198" w:type="dxa"/>
            <w:tcBorders/>
          </w:tcPr>
          <w:p>
            <w:pPr>
              <w:pStyle w:val="Contenudetableau"/>
              <w:widowControl w:val="false"/>
              <w:jc w:val="center"/>
              <w:rPr>
                <w:sz w:val="16"/>
                <w:szCs w:val="16"/>
              </w:rPr>
            </w:pPr>
            <w:r>
              <w:rPr>
                <w:sz w:val="16"/>
                <w:szCs w:val="16"/>
              </w:rPr>
              <w:t>12</w:t>
            </w:r>
          </w:p>
        </w:tc>
        <w:tc>
          <w:tcPr>
            <w:tcW w:w="197"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110" w:type="dxa"/>
            <w:tcBorders/>
          </w:tcPr>
          <w:p>
            <w:pPr>
              <w:pStyle w:val="Contenudetableau"/>
              <w:widowControl w:val="false"/>
              <w:jc w:val="center"/>
              <w:rPr>
                <w:sz w:val="16"/>
                <w:szCs w:val="16"/>
              </w:rPr>
            </w:pPr>
            <w:r>
              <w:rPr>
                <w:sz w:val="16"/>
                <w:szCs w:val="16"/>
              </w:rPr>
            </w:r>
          </w:p>
        </w:tc>
        <w:tc>
          <w:tcPr>
            <w:tcW w:w="197" w:type="dxa"/>
            <w:tcBorders/>
          </w:tcPr>
          <w:p>
            <w:pPr>
              <w:pStyle w:val="Contenudetableau"/>
              <w:widowControl w:val="false"/>
              <w:jc w:val="center"/>
              <w:rPr>
                <w:sz w:val="16"/>
                <w:szCs w:val="16"/>
              </w:rPr>
            </w:pPr>
            <w:r>
              <w:rPr>
                <w:sz w:val="16"/>
                <w:szCs w:val="16"/>
              </w:rPr>
              <w:t>12</w:t>
            </w:r>
          </w:p>
        </w:tc>
        <w:tc>
          <w:tcPr>
            <w:tcW w:w="243"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5" w:type="dxa"/>
            <w:tcBorders/>
          </w:tcPr>
          <w:p>
            <w:pPr>
              <w:pStyle w:val="Contenudetableau"/>
              <w:widowControl w:val="false"/>
              <w:jc w:val="center"/>
              <w:rPr>
                <w:sz w:val="16"/>
                <w:szCs w:val="16"/>
              </w:rPr>
            </w:pPr>
            <w:r>
              <w:rPr>
                <w:sz w:val="16"/>
                <w:szCs w:val="16"/>
              </w:rPr>
            </w:r>
          </w:p>
        </w:tc>
        <w:tc>
          <w:tcPr>
            <w:tcW w:w="205" w:type="dxa"/>
            <w:tcBorders/>
          </w:tcPr>
          <w:p>
            <w:pPr>
              <w:pStyle w:val="Contenudetableau"/>
              <w:widowControl w:val="false"/>
              <w:jc w:val="center"/>
              <w:rPr>
                <w:sz w:val="16"/>
                <w:szCs w:val="16"/>
              </w:rPr>
            </w:pPr>
            <w:r>
              <w:rPr>
                <w:sz w:val="16"/>
                <w:szCs w:val="16"/>
              </w:rPr>
              <w:t>12</w:t>
            </w:r>
          </w:p>
        </w:tc>
        <w:tc>
          <w:tcPr>
            <w:tcW w:w="194"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4" w:type="dxa"/>
            <w:tcBorders/>
          </w:tcPr>
          <w:p>
            <w:pPr>
              <w:pStyle w:val="Contenudetableau"/>
              <w:widowControl w:val="false"/>
              <w:jc w:val="center"/>
              <w:rPr>
                <w:sz w:val="16"/>
                <w:szCs w:val="16"/>
              </w:rPr>
            </w:pPr>
            <w:r>
              <w:rPr>
                <w:sz w:val="16"/>
                <w:szCs w:val="16"/>
              </w:rPr>
            </w:r>
          </w:p>
        </w:tc>
        <w:tc>
          <w:tcPr>
            <w:tcW w:w="207" w:type="dxa"/>
            <w:tcBorders/>
          </w:tcPr>
          <w:p>
            <w:pPr>
              <w:pStyle w:val="Contenudetableau"/>
              <w:widowControl w:val="false"/>
              <w:jc w:val="center"/>
              <w:rPr>
                <w:sz w:val="16"/>
                <w:szCs w:val="16"/>
              </w:rPr>
            </w:pPr>
            <w:r>
              <w:rPr>
                <w:sz w:val="16"/>
                <w:szCs w:val="16"/>
              </w:rPr>
              <w:t>12</w:t>
            </w:r>
          </w:p>
        </w:tc>
        <w:tc>
          <w:tcPr>
            <w:tcW w:w="242" w:type="dxa"/>
            <w:tcBorders/>
          </w:tcPr>
          <w:p>
            <w:pPr>
              <w:pStyle w:val="Contenudetableau"/>
              <w:widowControl w:val="false"/>
              <w:jc w:val="center"/>
              <w:rPr>
                <w:sz w:val="16"/>
                <w:szCs w:val="16"/>
              </w:rPr>
            </w:pPr>
            <w:r>
              <w:rPr>
                <w:sz w:val="16"/>
                <w:szCs w:val="16"/>
              </w:rPr>
            </w:r>
          </w:p>
        </w:tc>
        <w:tc>
          <w:tcPr>
            <w:tcW w:w="201" w:type="dxa"/>
            <w:tcBorders/>
          </w:tcPr>
          <w:p>
            <w:pPr>
              <w:pStyle w:val="Contenudetableau"/>
              <w:widowControl w:val="false"/>
              <w:jc w:val="center"/>
              <w:rPr>
                <w:sz w:val="16"/>
                <w:szCs w:val="16"/>
              </w:rPr>
            </w:pPr>
            <w:r>
              <w:rPr>
                <w:sz w:val="16"/>
                <w:szCs w:val="16"/>
              </w:rPr>
            </w:r>
          </w:p>
        </w:tc>
        <w:tc>
          <w:tcPr>
            <w:tcW w:w="240" w:type="dxa"/>
            <w:tcBorders/>
          </w:tcPr>
          <w:p>
            <w:pPr>
              <w:pStyle w:val="Contenudetableau"/>
              <w:widowControl w:val="false"/>
              <w:jc w:val="center"/>
              <w:rPr>
                <w:sz w:val="16"/>
                <w:szCs w:val="16"/>
              </w:rPr>
            </w:pPr>
            <w:r>
              <w:rPr>
                <w:sz w:val="16"/>
                <w:szCs w:val="16"/>
              </w:rPr>
              <w:t xml:space="preserve"> </w:t>
            </w:r>
            <w:r>
              <w:rPr>
                <w:sz w:val="16"/>
                <w:szCs w:val="16"/>
              </w:rPr>
              <w:t>12</w:t>
            </w:r>
          </w:p>
        </w:tc>
        <w:tc>
          <w:tcPr>
            <w:tcW w:w="242" w:type="dxa"/>
            <w:tcBorders/>
          </w:tcPr>
          <w:p>
            <w:pPr>
              <w:pStyle w:val="Contenudetableau"/>
              <w:widowControl w:val="false"/>
              <w:jc w:val="center"/>
              <w:rPr>
                <w:sz w:val="16"/>
                <w:szCs w:val="16"/>
              </w:rPr>
            </w:pPr>
            <w:r>
              <w:rPr>
                <w:sz w:val="16"/>
                <w:szCs w:val="16"/>
              </w:rPr>
            </w:r>
          </w:p>
        </w:tc>
        <w:tc>
          <w:tcPr>
            <w:tcW w:w="199" w:type="dxa"/>
            <w:tcBorders/>
          </w:tcPr>
          <w:p>
            <w:pPr>
              <w:pStyle w:val="Contenudetableau"/>
              <w:widowControl w:val="false"/>
              <w:jc w:val="center"/>
              <w:rPr>
                <w:sz w:val="16"/>
                <w:szCs w:val="16"/>
              </w:rPr>
            </w:pPr>
            <w:r>
              <w:rPr>
                <w:sz w:val="16"/>
                <w:szCs w:val="16"/>
              </w:rPr>
              <w:t>12</w:t>
            </w:r>
          </w:p>
        </w:tc>
        <w:tc>
          <w:tcPr>
            <w:tcW w:w="199" w:type="dxa"/>
            <w:tcBorders/>
          </w:tcPr>
          <w:p>
            <w:pPr>
              <w:pStyle w:val="Contenudetableau"/>
              <w:widowControl w:val="false"/>
              <w:jc w:val="center"/>
              <w:rPr>
                <w:sz w:val="16"/>
                <w:szCs w:val="16"/>
              </w:rPr>
            </w:pPr>
            <w:r>
              <w:rPr>
                <w:sz w:val="16"/>
                <w:szCs w:val="16"/>
              </w:rPr>
            </w:r>
          </w:p>
        </w:tc>
        <w:tc>
          <w:tcPr>
            <w:tcW w:w="241" w:type="dxa"/>
            <w:tcBorders/>
          </w:tcPr>
          <w:p>
            <w:pPr>
              <w:pStyle w:val="Contenudetableau"/>
              <w:widowControl w:val="false"/>
              <w:jc w:val="center"/>
              <w:rPr>
                <w:sz w:val="16"/>
                <w:szCs w:val="16"/>
              </w:rPr>
            </w:pPr>
            <w:r>
              <w:rPr>
                <w:sz w:val="16"/>
                <w:szCs w:val="16"/>
              </w:rPr>
              <w:t xml:space="preserve"> </w:t>
            </w:r>
            <w:r>
              <w:rPr>
                <w:sz w:val="16"/>
                <w:szCs w:val="16"/>
              </w:rPr>
              <w:t>12</w:t>
            </w:r>
          </w:p>
        </w:tc>
        <w:tc>
          <w:tcPr>
            <w:tcW w:w="243"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197" w:type="dxa"/>
            <w:tcBorders/>
          </w:tcPr>
          <w:p>
            <w:pPr>
              <w:pStyle w:val="Contenudetableau"/>
              <w:widowControl w:val="false"/>
              <w:jc w:val="center"/>
              <w:rPr>
                <w:sz w:val="16"/>
                <w:szCs w:val="16"/>
              </w:rPr>
            </w:pPr>
            <w:r>
              <w:rPr>
                <w:sz w:val="16"/>
                <w:szCs w:val="16"/>
              </w:rPr>
            </w:r>
          </w:p>
        </w:tc>
        <w:tc>
          <w:tcPr>
            <w:tcW w:w="242" w:type="dxa"/>
            <w:tcBorders/>
          </w:tcPr>
          <w:p>
            <w:pPr>
              <w:pStyle w:val="Contenudetableau"/>
              <w:widowControl w:val="false"/>
              <w:jc w:val="center"/>
              <w:rPr>
                <w:sz w:val="16"/>
                <w:szCs w:val="16"/>
              </w:rPr>
            </w:pPr>
            <w:r>
              <w:rPr>
                <w:sz w:val="16"/>
                <w:szCs w:val="16"/>
              </w:rPr>
              <w:t xml:space="preserve"> </w:t>
            </w:r>
            <w:r>
              <w:rPr>
                <w:sz w:val="16"/>
                <w:szCs w:val="16"/>
              </w:rPr>
              <w:t>12</w:t>
            </w:r>
          </w:p>
        </w:tc>
        <w:tc>
          <w:tcPr>
            <w:tcW w:w="243" w:type="dxa"/>
            <w:tcBorders/>
          </w:tcPr>
          <w:p>
            <w:pPr>
              <w:pStyle w:val="Contenudetableau"/>
              <w:widowControl w:val="false"/>
              <w:jc w:val="center"/>
              <w:rPr>
                <w:sz w:val="16"/>
                <w:szCs w:val="16"/>
              </w:rPr>
            </w:pPr>
            <w:r>
              <w:rPr>
                <w:sz w:val="16"/>
                <w:szCs w:val="16"/>
              </w:rPr>
              <w:t xml:space="preserve"> </w:t>
            </w:r>
            <w:r>
              <w:rPr>
                <w:sz w:val="16"/>
                <w:szCs w:val="16"/>
              </w:rPr>
              <w:t>12</w:t>
            </w:r>
          </w:p>
        </w:tc>
        <w:tc>
          <w:tcPr>
            <w:tcW w:w="198" w:type="dxa"/>
            <w:tcBorders/>
          </w:tcPr>
          <w:p>
            <w:pPr>
              <w:pStyle w:val="Contenudetableau"/>
              <w:widowControl w:val="false"/>
              <w:jc w:val="center"/>
              <w:rPr>
                <w:sz w:val="16"/>
                <w:szCs w:val="16"/>
              </w:rPr>
            </w:pPr>
            <w:r>
              <w:rPr>
                <w:sz w:val="16"/>
                <w:szCs w:val="16"/>
              </w:rPr>
            </w:r>
          </w:p>
        </w:tc>
        <w:tc>
          <w:tcPr>
            <w:tcW w:w="384" w:type="dxa"/>
            <w:tcBorders/>
          </w:tcPr>
          <w:p>
            <w:pPr>
              <w:pStyle w:val="Contenudetableau"/>
              <w:widowControl w:val="false"/>
              <w:rPr>
                <w:sz w:val="16"/>
                <w:szCs w:val="16"/>
              </w:rPr>
            </w:pPr>
            <w:r>
              <w:rPr>
                <w:sz w:val="16"/>
                <w:szCs w:val="16"/>
              </w:rPr>
              <w:t xml:space="preserve">  </w:t>
            </w:r>
            <w:r>
              <w:rPr>
                <w:sz w:val="16"/>
                <w:szCs w:val="16"/>
              </w:rPr>
              <w:t>180</w:t>
            </w:r>
          </w:p>
        </w:tc>
        <w:tc>
          <w:tcPr>
            <w:tcW w:w="909" w:type="dxa"/>
            <w:tcBorders/>
          </w:tcPr>
          <w:p>
            <w:pPr>
              <w:pStyle w:val="Contenudetableau"/>
              <w:widowControl w:val="false"/>
              <w:rPr>
                <w:sz w:val="16"/>
                <w:szCs w:val="16"/>
              </w:rPr>
            </w:pPr>
            <w:r>
              <w:rPr>
                <w:sz w:val="16"/>
                <w:szCs w:val="16"/>
              </w:rPr>
              <w:t xml:space="preserve">        </w:t>
            </w:r>
            <w:r>
              <w:rPr>
                <w:sz w:val="16"/>
                <w:szCs w:val="16"/>
              </w:rPr>
              <w:t>12</w:t>
            </w:r>
          </w:p>
        </w:tc>
        <w:tc>
          <w:tcPr>
            <w:tcW w:w="879" w:type="dxa"/>
            <w:tcBorders/>
          </w:tcPr>
          <w:p>
            <w:pPr>
              <w:pStyle w:val="Contenudetableau"/>
              <w:widowControl w:val="false"/>
              <w:rPr>
                <w:sz w:val="16"/>
                <w:szCs w:val="16"/>
              </w:rPr>
            </w:pPr>
            <w:r>
              <w:rPr>
                <w:sz w:val="16"/>
                <w:szCs w:val="16"/>
              </w:rPr>
              <w:t xml:space="preserve">        </w:t>
            </w:r>
            <w:r>
              <w:rPr>
                <w:sz w:val="16"/>
                <w:szCs w:val="16"/>
              </w:rPr>
              <w:t>6</w:t>
            </w:r>
          </w:p>
        </w:tc>
      </w:tr>
    </w:tbl>
    <w:p>
      <w:pPr>
        <w:pStyle w:val="Normal"/>
        <w:jc w:val="both"/>
        <w:rPr>
          <w:rFonts w:ascii="Times New Roman" w:hAnsi="Times New Roman"/>
          <w:sz w:val="22"/>
          <w:szCs w:val="22"/>
        </w:rPr>
      </w:pPr>
      <w:r>
        <w:rPr>
          <w:rFonts w:ascii="Times New Roman" w:hAnsi="Times New Roman"/>
          <w:b/>
          <w:bCs/>
          <w:sz w:val="22"/>
          <w:szCs w:val="22"/>
        </w:rPr>
        <w:t xml:space="preserve"> </w:t>
      </w:r>
      <w:r>
        <w:rPr>
          <w:rFonts w:ascii="Times New Roman" w:hAnsi="Times New Roman"/>
          <w:b/>
          <w:bCs/>
          <w:sz w:val="22"/>
          <w:szCs w:val="22"/>
        </w:rPr>
        <w:br/>
      </w:r>
      <w:r>
        <w:rPr>
          <w:rFonts w:ascii="Times New Roman" w:hAnsi="Times New Roman"/>
          <w:sz w:val="22"/>
          <w:szCs w:val="22"/>
        </w:rPr>
        <w:tab/>
        <w:t>Résultats de l’épreuve 3 :</w:t>
      </w:r>
    </w:p>
    <w:p>
      <w:pPr>
        <w:pStyle w:val="Normal"/>
        <w:jc w:val="both"/>
        <w:rPr/>
      </w:pPr>
      <w:r>
        <w:rPr/>
      </w:r>
    </w:p>
    <w:tbl>
      <w:tblPr>
        <w:tblW w:w="9240" w:type="dxa"/>
        <w:jc w:val="center"/>
        <w:tblInd w:w="0" w:type="dxa"/>
        <w:tblLayout w:type="fixed"/>
        <w:tblCellMar>
          <w:top w:w="0" w:type="dxa"/>
          <w:left w:w="0" w:type="dxa"/>
          <w:bottom w:w="0" w:type="dxa"/>
          <w:right w:w="0" w:type="dxa"/>
        </w:tblCellMar>
        <w:tblLook w:val="04a0" w:noHBand="0" w:noVBand="1" w:firstColumn="1" w:lastRow="0" w:lastColumn="0" w:firstRow="1"/>
      </w:tblPr>
      <w:tblGrid>
        <w:gridCol w:w="1590"/>
        <w:gridCol w:w="44"/>
        <w:gridCol w:w="105"/>
        <w:gridCol w:w="106"/>
        <w:gridCol w:w="180"/>
        <w:gridCol w:w="104"/>
        <w:gridCol w:w="181"/>
        <w:gridCol w:w="182"/>
        <w:gridCol w:w="194"/>
        <w:gridCol w:w="103"/>
        <w:gridCol w:w="92"/>
        <w:gridCol w:w="223"/>
        <w:gridCol w:w="202"/>
        <w:gridCol w:w="219"/>
        <w:gridCol w:w="183"/>
        <w:gridCol w:w="182"/>
        <w:gridCol w:w="219"/>
        <w:gridCol w:w="231"/>
        <w:gridCol w:w="202"/>
        <w:gridCol w:w="224"/>
        <w:gridCol w:w="182"/>
        <w:gridCol w:w="181"/>
        <w:gridCol w:w="224"/>
        <w:gridCol w:w="180"/>
        <w:gridCol w:w="195"/>
        <w:gridCol w:w="182"/>
        <w:gridCol w:w="226"/>
        <w:gridCol w:w="225"/>
        <w:gridCol w:w="228"/>
        <w:gridCol w:w="179"/>
        <w:gridCol w:w="226"/>
        <w:gridCol w:w="227"/>
        <w:gridCol w:w="363"/>
        <w:gridCol w:w="842"/>
        <w:gridCol w:w="811"/>
      </w:tblGrid>
      <w:tr>
        <w:trPr>
          <w:trHeight w:val="184" w:hRule="atLeast"/>
        </w:trPr>
        <w:tc>
          <w:tcPr>
            <w:tcW w:w="1590" w:type="dxa"/>
            <w:tcBorders/>
          </w:tcPr>
          <w:p>
            <w:pPr>
              <w:pStyle w:val="Contenudetableau"/>
              <w:widowControl w:val="false"/>
              <w:rPr>
                <w:sz w:val="16"/>
                <w:szCs w:val="16"/>
              </w:rPr>
            </w:pPr>
            <w:r>
              <w:rPr>
                <w:sz w:val="16"/>
                <w:szCs w:val="16"/>
              </w:rPr>
              <w:t xml:space="preserve"> </w:t>
            </w:r>
            <w:r>
              <w:rPr>
                <w:sz w:val="16"/>
                <w:szCs w:val="16"/>
              </w:rPr>
              <w:t>élève</w:t>
            </w:r>
          </w:p>
        </w:tc>
        <w:tc>
          <w:tcPr>
            <w:tcW w:w="44" w:type="dxa"/>
            <w:tcBorders/>
          </w:tcPr>
          <w:p>
            <w:pPr>
              <w:pStyle w:val="Contenudetableau"/>
              <w:widowControl w:val="false"/>
              <w:rPr>
                <w:sz w:val="16"/>
                <w:szCs w:val="16"/>
              </w:rPr>
            </w:pPr>
            <w:r>
              <w:rPr>
                <w:sz w:val="16"/>
                <w:szCs w:val="16"/>
              </w:rPr>
            </w:r>
          </w:p>
        </w:tc>
        <w:tc>
          <w:tcPr>
            <w:tcW w:w="105" w:type="dxa"/>
            <w:tcBorders/>
          </w:tcPr>
          <w:p>
            <w:pPr>
              <w:pStyle w:val="Contenudetableau"/>
              <w:widowControl w:val="false"/>
              <w:jc w:val="center"/>
              <w:rPr>
                <w:sz w:val="16"/>
                <w:szCs w:val="16"/>
              </w:rPr>
            </w:pPr>
            <w:r>
              <w:rPr>
                <w:sz w:val="16"/>
                <w:szCs w:val="16"/>
              </w:rPr>
              <w:t>1</w:t>
            </w:r>
          </w:p>
        </w:tc>
        <w:tc>
          <w:tcPr>
            <w:tcW w:w="106" w:type="dxa"/>
            <w:tcBorders/>
          </w:tcPr>
          <w:p>
            <w:pPr>
              <w:pStyle w:val="Contenudetableau"/>
              <w:widowControl w:val="false"/>
              <w:jc w:val="center"/>
              <w:rPr>
                <w:sz w:val="16"/>
                <w:szCs w:val="16"/>
              </w:rPr>
            </w:pPr>
            <w:r>
              <w:rPr>
                <w:sz w:val="16"/>
                <w:szCs w:val="16"/>
              </w:rPr>
              <w:t>2</w:t>
            </w:r>
          </w:p>
        </w:tc>
        <w:tc>
          <w:tcPr>
            <w:tcW w:w="180" w:type="dxa"/>
            <w:tcBorders/>
          </w:tcPr>
          <w:p>
            <w:pPr>
              <w:pStyle w:val="Contenudetableau"/>
              <w:widowControl w:val="false"/>
              <w:jc w:val="center"/>
              <w:rPr>
                <w:sz w:val="16"/>
                <w:szCs w:val="16"/>
              </w:rPr>
            </w:pPr>
            <w:r>
              <w:rPr>
                <w:sz w:val="16"/>
                <w:szCs w:val="16"/>
              </w:rPr>
              <w:t>3</w:t>
            </w:r>
          </w:p>
        </w:tc>
        <w:tc>
          <w:tcPr>
            <w:tcW w:w="104" w:type="dxa"/>
            <w:tcBorders/>
          </w:tcPr>
          <w:p>
            <w:pPr>
              <w:pStyle w:val="Contenudetableau"/>
              <w:widowControl w:val="false"/>
              <w:jc w:val="center"/>
              <w:rPr>
                <w:sz w:val="16"/>
                <w:szCs w:val="16"/>
              </w:rPr>
            </w:pPr>
            <w:r>
              <w:rPr>
                <w:sz w:val="16"/>
                <w:szCs w:val="16"/>
              </w:rPr>
              <w:t>4</w:t>
            </w:r>
          </w:p>
        </w:tc>
        <w:tc>
          <w:tcPr>
            <w:tcW w:w="181" w:type="dxa"/>
            <w:tcBorders/>
          </w:tcPr>
          <w:p>
            <w:pPr>
              <w:pStyle w:val="Contenudetableau"/>
              <w:widowControl w:val="false"/>
              <w:jc w:val="center"/>
              <w:rPr>
                <w:sz w:val="16"/>
                <w:szCs w:val="16"/>
              </w:rPr>
            </w:pPr>
            <w:r>
              <w:rPr>
                <w:sz w:val="16"/>
                <w:szCs w:val="16"/>
              </w:rPr>
              <w:t>5</w:t>
            </w:r>
          </w:p>
        </w:tc>
        <w:tc>
          <w:tcPr>
            <w:tcW w:w="182" w:type="dxa"/>
            <w:tcBorders/>
          </w:tcPr>
          <w:p>
            <w:pPr>
              <w:pStyle w:val="Contenudetableau"/>
              <w:widowControl w:val="false"/>
              <w:jc w:val="center"/>
              <w:rPr>
                <w:sz w:val="16"/>
                <w:szCs w:val="16"/>
              </w:rPr>
            </w:pPr>
            <w:r>
              <w:rPr>
                <w:sz w:val="16"/>
                <w:szCs w:val="16"/>
              </w:rPr>
              <w:t xml:space="preserve"> </w:t>
            </w:r>
            <w:r>
              <w:rPr>
                <w:sz w:val="16"/>
                <w:szCs w:val="16"/>
              </w:rPr>
              <w:t xml:space="preserve">6   </w:t>
            </w:r>
          </w:p>
        </w:tc>
        <w:tc>
          <w:tcPr>
            <w:tcW w:w="194" w:type="dxa"/>
            <w:tcBorders/>
          </w:tcPr>
          <w:p>
            <w:pPr>
              <w:pStyle w:val="Contenudetableau"/>
              <w:widowControl w:val="false"/>
              <w:jc w:val="center"/>
              <w:rPr>
                <w:sz w:val="16"/>
                <w:szCs w:val="16"/>
              </w:rPr>
            </w:pPr>
            <w:r>
              <w:rPr>
                <w:sz w:val="16"/>
                <w:szCs w:val="16"/>
              </w:rPr>
              <w:t xml:space="preserve">  </w:t>
            </w:r>
            <w:r>
              <w:rPr>
                <w:sz w:val="16"/>
                <w:szCs w:val="16"/>
              </w:rPr>
              <w:t>7</w:t>
            </w:r>
          </w:p>
        </w:tc>
        <w:tc>
          <w:tcPr>
            <w:tcW w:w="103" w:type="dxa"/>
            <w:tcBorders/>
          </w:tcPr>
          <w:p>
            <w:pPr>
              <w:pStyle w:val="Contenudetableau"/>
              <w:widowControl w:val="false"/>
              <w:jc w:val="center"/>
              <w:rPr>
                <w:sz w:val="16"/>
                <w:szCs w:val="16"/>
              </w:rPr>
            </w:pPr>
            <w:r>
              <w:rPr>
                <w:sz w:val="16"/>
                <w:szCs w:val="16"/>
              </w:rPr>
              <w:t>8</w:t>
            </w:r>
          </w:p>
        </w:tc>
        <w:tc>
          <w:tcPr>
            <w:tcW w:w="92" w:type="dxa"/>
            <w:tcBorders/>
          </w:tcPr>
          <w:p>
            <w:pPr>
              <w:pStyle w:val="Contenudetableau"/>
              <w:widowControl w:val="false"/>
              <w:jc w:val="center"/>
              <w:rPr>
                <w:sz w:val="16"/>
                <w:szCs w:val="16"/>
              </w:rPr>
            </w:pPr>
            <w:r>
              <w:rPr>
                <w:sz w:val="16"/>
                <w:szCs w:val="16"/>
              </w:rPr>
              <w:t>9</w:t>
            </w:r>
          </w:p>
        </w:tc>
        <w:tc>
          <w:tcPr>
            <w:tcW w:w="223" w:type="dxa"/>
            <w:tcBorders/>
          </w:tcPr>
          <w:p>
            <w:pPr>
              <w:pStyle w:val="Contenudetableau"/>
              <w:widowControl w:val="false"/>
              <w:jc w:val="center"/>
              <w:rPr>
                <w:sz w:val="16"/>
                <w:szCs w:val="16"/>
              </w:rPr>
            </w:pPr>
            <w:r>
              <w:rPr>
                <w:sz w:val="16"/>
                <w:szCs w:val="16"/>
              </w:rPr>
              <w:t xml:space="preserve"> </w:t>
            </w:r>
            <w:r>
              <w:rPr>
                <w:sz w:val="16"/>
                <w:szCs w:val="16"/>
              </w:rPr>
              <w:t xml:space="preserve">10    </w:t>
            </w:r>
          </w:p>
        </w:tc>
        <w:tc>
          <w:tcPr>
            <w:tcW w:w="202" w:type="dxa"/>
            <w:tcBorders/>
          </w:tcPr>
          <w:p>
            <w:pPr>
              <w:pStyle w:val="Contenudetableau"/>
              <w:widowControl w:val="false"/>
              <w:jc w:val="center"/>
              <w:rPr>
                <w:sz w:val="16"/>
                <w:szCs w:val="16"/>
              </w:rPr>
            </w:pPr>
            <w:r>
              <w:rPr>
                <w:sz w:val="16"/>
                <w:szCs w:val="16"/>
              </w:rPr>
              <w:t>11</w:t>
            </w:r>
          </w:p>
        </w:tc>
        <w:tc>
          <w:tcPr>
            <w:tcW w:w="219" w:type="dxa"/>
            <w:tcBorders/>
          </w:tcPr>
          <w:p>
            <w:pPr>
              <w:pStyle w:val="Contenudetableau"/>
              <w:widowControl w:val="false"/>
              <w:jc w:val="center"/>
              <w:rPr>
                <w:sz w:val="16"/>
                <w:szCs w:val="16"/>
              </w:rPr>
            </w:pPr>
            <w:r>
              <w:rPr>
                <w:sz w:val="16"/>
                <w:szCs w:val="16"/>
              </w:rPr>
              <w:t>12</w:t>
            </w:r>
          </w:p>
        </w:tc>
        <w:tc>
          <w:tcPr>
            <w:tcW w:w="183" w:type="dxa"/>
            <w:tcBorders/>
          </w:tcPr>
          <w:p>
            <w:pPr>
              <w:pStyle w:val="Contenudetableau"/>
              <w:widowControl w:val="false"/>
              <w:jc w:val="center"/>
              <w:rPr>
                <w:sz w:val="16"/>
                <w:szCs w:val="16"/>
              </w:rPr>
            </w:pPr>
            <w:r>
              <w:rPr>
                <w:sz w:val="16"/>
                <w:szCs w:val="16"/>
              </w:rPr>
              <w:t>13</w:t>
            </w:r>
          </w:p>
        </w:tc>
        <w:tc>
          <w:tcPr>
            <w:tcW w:w="182" w:type="dxa"/>
            <w:tcBorders/>
          </w:tcPr>
          <w:p>
            <w:pPr>
              <w:pStyle w:val="Contenudetableau"/>
              <w:widowControl w:val="false"/>
              <w:jc w:val="center"/>
              <w:rPr>
                <w:sz w:val="16"/>
                <w:szCs w:val="16"/>
              </w:rPr>
            </w:pPr>
            <w:r>
              <w:rPr>
                <w:sz w:val="16"/>
                <w:szCs w:val="16"/>
              </w:rPr>
              <w:t>14</w:t>
            </w:r>
          </w:p>
        </w:tc>
        <w:tc>
          <w:tcPr>
            <w:tcW w:w="219" w:type="dxa"/>
            <w:tcBorders/>
          </w:tcPr>
          <w:p>
            <w:pPr>
              <w:pStyle w:val="Contenudetableau"/>
              <w:widowControl w:val="false"/>
              <w:jc w:val="center"/>
              <w:rPr>
                <w:sz w:val="16"/>
                <w:szCs w:val="16"/>
              </w:rPr>
            </w:pPr>
            <w:r>
              <w:rPr>
                <w:sz w:val="16"/>
                <w:szCs w:val="16"/>
              </w:rPr>
              <w:t xml:space="preserve"> </w:t>
            </w:r>
            <w:r>
              <w:rPr>
                <w:sz w:val="16"/>
                <w:szCs w:val="16"/>
              </w:rPr>
              <w:t>15</w:t>
            </w:r>
          </w:p>
        </w:tc>
        <w:tc>
          <w:tcPr>
            <w:tcW w:w="231" w:type="dxa"/>
            <w:tcBorders/>
          </w:tcPr>
          <w:p>
            <w:pPr>
              <w:pStyle w:val="Contenudetableau"/>
              <w:widowControl w:val="false"/>
              <w:jc w:val="center"/>
              <w:rPr>
                <w:sz w:val="16"/>
                <w:szCs w:val="16"/>
              </w:rPr>
            </w:pPr>
            <w:r>
              <w:rPr>
                <w:sz w:val="16"/>
                <w:szCs w:val="16"/>
              </w:rPr>
              <w:t>16</w:t>
            </w:r>
          </w:p>
        </w:tc>
        <w:tc>
          <w:tcPr>
            <w:tcW w:w="202" w:type="dxa"/>
            <w:tcBorders/>
          </w:tcPr>
          <w:p>
            <w:pPr>
              <w:pStyle w:val="Contenudetableau"/>
              <w:widowControl w:val="false"/>
              <w:jc w:val="center"/>
              <w:rPr>
                <w:sz w:val="16"/>
                <w:szCs w:val="16"/>
              </w:rPr>
            </w:pPr>
            <w:r>
              <w:rPr>
                <w:sz w:val="16"/>
                <w:szCs w:val="16"/>
              </w:rPr>
              <w:t>17</w:t>
            </w:r>
          </w:p>
        </w:tc>
        <w:tc>
          <w:tcPr>
            <w:tcW w:w="224" w:type="dxa"/>
            <w:tcBorders/>
          </w:tcPr>
          <w:p>
            <w:pPr>
              <w:pStyle w:val="Contenudetableau"/>
              <w:widowControl w:val="false"/>
              <w:jc w:val="center"/>
              <w:rPr>
                <w:sz w:val="16"/>
                <w:szCs w:val="16"/>
              </w:rPr>
            </w:pPr>
            <w:r>
              <w:rPr>
                <w:sz w:val="16"/>
                <w:szCs w:val="16"/>
              </w:rPr>
              <w:t xml:space="preserve"> </w:t>
            </w:r>
            <w:r>
              <w:rPr>
                <w:sz w:val="16"/>
                <w:szCs w:val="16"/>
              </w:rPr>
              <w:t>18</w:t>
            </w:r>
          </w:p>
        </w:tc>
        <w:tc>
          <w:tcPr>
            <w:tcW w:w="182" w:type="dxa"/>
            <w:tcBorders/>
          </w:tcPr>
          <w:p>
            <w:pPr>
              <w:pStyle w:val="Contenudetableau"/>
              <w:widowControl w:val="false"/>
              <w:jc w:val="center"/>
              <w:rPr>
                <w:sz w:val="16"/>
                <w:szCs w:val="16"/>
              </w:rPr>
            </w:pPr>
            <w:r>
              <w:rPr>
                <w:sz w:val="16"/>
                <w:szCs w:val="16"/>
              </w:rPr>
              <w:t>19</w:t>
            </w:r>
          </w:p>
        </w:tc>
        <w:tc>
          <w:tcPr>
            <w:tcW w:w="181" w:type="dxa"/>
            <w:tcBorders/>
          </w:tcPr>
          <w:p>
            <w:pPr>
              <w:pStyle w:val="Contenudetableau"/>
              <w:widowControl w:val="false"/>
              <w:jc w:val="center"/>
              <w:rPr>
                <w:sz w:val="16"/>
                <w:szCs w:val="16"/>
              </w:rPr>
            </w:pPr>
            <w:r>
              <w:rPr>
                <w:sz w:val="16"/>
                <w:szCs w:val="16"/>
              </w:rPr>
              <w:t>20</w:t>
            </w:r>
          </w:p>
        </w:tc>
        <w:tc>
          <w:tcPr>
            <w:tcW w:w="224" w:type="dxa"/>
            <w:tcBorders/>
          </w:tcPr>
          <w:p>
            <w:pPr>
              <w:pStyle w:val="Contenudetableau"/>
              <w:widowControl w:val="false"/>
              <w:jc w:val="center"/>
              <w:rPr>
                <w:sz w:val="16"/>
                <w:szCs w:val="16"/>
              </w:rPr>
            </w:pPr>
            <w:r>
              <w:rPr>
                <w:sz w:val="16"/>
                <w:szCs w:val="16"/>
              </w:rPr>
              <w:t xml:space="preserve"> </w:t>
            </w:r>
            <w:r>
              <w:rPr>
                <w:sz w:val="16"/>
                <w:szCs w:val="16"/>
              </w:rPr>
              <w:t>21</w:t>
            </w:r>
          </w:p>
        </w:tc>
        <w:tc>
          <w:tcPr>
            <w:tcW w:w="180" w:type="dxa"/>
            <w:tcBorders/>
          </w:tcPr>
          <w:p>
            <w:pPr>
              <w:pStyle w:val="Contenudetableau"/>
              <w:widowControl w:val="false"/>
              <w:jc w:val="center"/>
              <w:rPr>
                <w:sz w:val="16"/>
                <w:szCs w:val="16"/>
              </w:rPr>
            </w:pPr>
            <w:r>
              <w:rPr>
                <w:sz w:val="16"/>
                <w:szCs w:val="16"/>
              </w:rPr>
              <w:t>22</w:t>
            </w:r>
          </w:p>
        </w:tc>
        <w:tc>
          <w:tcPr>
            <w:tcW w:w="195" w:type="dxa"/>
            <w:tcBorders/>
          </w:tcPr>
          <w:p>
            <w:pPr>
              <w:pStyle w:val="Contenudetableau"/>
              <w:widowControl w:val="false"/>
              <w:jc w:val="center"/>
              <w:rPr>
                <w:sz w:val="16"/>
                <w:szCs w:val="16"/>
              </w:rPr>
            </w:pPr>
            <w:r>
              <w:rPr>
                <w:sz w:val="16"/>
                <w:szCs w:val="16"/>
              </w:rPr>
              <w:t>23</w:t>
            </w:r>
          </w:p>
        </w:tc>
        <w:tc>
          <w:tcPr>
            <w:tcW w:w="182" w:type="dxa"/>
            <w:tcBorders/>
          </w:tcPr>
          <w:p>
            <w:pPr>
              <w:pStyle w:val="Contenudetableau"/>
              <w:widowControl w:val="false"/>
              <w:jc w:val="center"/>
              <w:rPr>
                <w:sz w:val="16"/>
                <w:szCs w:val="16"/>
              </w:rPr>
            </w:pPr>
            <w:r>
              <w:rPr>
                <w:sz w:val="16"/>
                <w:szCs w:val="16"/>
              </w:rPr>
              <w:t>24</w:t>
            </w:r>
          </w:p>
        </w:tc>
        <w:tc>
          <w:tcPr>
            <w:tcW w:w="226" w:type="dxa"/>
            <w:tcBorders/>
          </w:tcPr>
          <w:p>
            <w:pPr>
              <w:pStyle w:val="Contenudetableau"/>
              <w:widowControl w:val="false"/>
              <w:jc w:val="center"/>
              <w:rPr>
                <w:sz w:val="16"/>
                <w:szCs w:val="16"/>
              </w:rPr>
            </w:pPr>
            <w:r>
              <w:rPr>
                <w:sz w:val="16"/>
                <w:szCs w:val="16"/>
              </w:rPr>
              <w:t xml:space="preserve"> </w:t>
            </w:r>
            <w:r>
              <w:rPr>
                <w:sz w:val="16"/>
                <w:szCs w:val="16"/>
              </w:rPr>
              <w:t>25</w:t>
            </w:r>
          </w:p>
        </w:tc>
        <w:tc>
          <w:tcPr>
            <w:tcW w:w="225" w:type="dxa"/>
            <w:tcBorders/>
          </w:tcPr>
          <w:p>
            <w:pPr>
              <w:pStyle w:val="Contenudetableau"/>
              <w:widowControl w:val="false"/>
              <w:jc w:val="center"/>
              <w:rPr>
                <w:sz w:val="16"/>
                <w:szCs w:val="16"/>
              </w:rPr>
            </w:pPr>
            <w:r>
              <w:rPr>
                <w:sz w:val="16"/>
                <w:szCs w:val="16"/>
              </w:rPr>
              <w:t xml:space="preserve"> </w:t>
            </w:r>
            <w:r>
              <w:rPr>
                <w:sz w:val="16"/>
                <w:szCs w:val="16"/>
              </w:rPr>
              <w:t>26</w:t>
            </w:r>
          </w:p>
        </w:tc>
        <w:tc>
          <w:tcPr>
            <w:tcW w:w="228" w:type="dxa"/>
            <w:tcBorders/>
          </w:tcPr>
          <w:p>
            <w:pPr>
              <w:pStyle w:val="Contenudetableau"/>
              <w:widowControl w:val="false"/>
              <w:jc w:val="center"/>
              <w:rPr>
                <w:sz w:val="16"/>
                <w:szCs w:val="16"/>
              </w:rPr>
            </w:pPr>
            <w:r>
              <w:rPr>
                <w:sz w:val="16"/>
                <w:szCs w:val="16"/>
              </w:rPr>
              <w:t>27</w:t>
            </w:r>
          </w:p>
        </w:tc>
        <w:tc>
          <w:tcPr>
            <w:tcW w:w="179" w:type="dxa"/>
            <w:tcBorders/>
          </w:tcPr>
          <w:p>
            <w:pPr>
              <w:pStyle w:val="Contenudetableau"/>
              <w:widowControl w:val="false"/>
              <w:jc w:val="center"/>
              <w:rPr>
                <w:sz w:val="16"/>
                <w:szCs w:val="16"/>
              </w:rPr>
            </w:pPr>
            <w:r>
              <w:rPr>
                <w:sz w:val="16"/>
                <w:szCs w:val="16"/>
              </w:rPr>
              <w:t>28</w:t>
            </w:r>
          </w:p>
        </w:tc>
        <w:tc>
          <w:tcPr>
            <w:tcW w:w="226" w:type="dxa"/>
            <w:tcBorders/>
          </w:tcPr>
          <w:p>
            <w:pPr>
              <w:pStyle w:val="Contenudetableau"/>
              <w:widowControl w:val="false"/>
              <w:jc w:val="center"/>
              <w:rPr>
                <w:sz w:val="16"/>
                <w:szCs w:val="16"/>
              </w:rPr>
            </w:pPr>
            <w:r>
              <w:rPr>
                <w:sz w:val="16"/>
                <w:szCs w:val="16"/>
              </w:rPr>
              <w:t>29</w:t>
            </w:r>
          </w:p>
        </w:tc>
        <w:tc>
          <w:tcPr>
            <w:tcW w:w="227" w:type="dxa"/>
            <w:tcBorders/>
          </w:tcPr>
          <w:p>
            <w:pPr>
              <w:pStyle w:val="Contenudetableau"/>
              <w:widowControl w:val="false"/>
              <w:jc w:val="center"/>
              <w:rPr>
                <w:sz w:val="16"/>
                <w:szCs w:val="16"/>
              </w:rPr>
            </w:pPr>
            <w:r>
              <w:rPr>
                <w:sz w:val="16"/>
                <w:szCs w:val="16"/>
              </w:rPr>
              <w:t>30</w:t>
            </w:r>
          </w:p>
        </w:tc>
        <w:tc>
          <w:tcPr>
            <w:tcW w:w="363" w:type="dxa"/>
            <w:tcBorders/>
          </w:tcPr>
          <w:p>
            <w:pPr>
              <w:pStyle w:val="Contenudetableau"/>
              <w:widowControl w:val="false"/>
              <w:jc w:val="center"/>
              <w:rPr>
                <w:sz w:val="16"/>
                <w:szCs w:val="16"/>
              </w:rPr>
            </w:pPr>
            <w:r>
              <w:rPr>
                <w:sz w:val="16"/>
                <w:szCs w:val="16"/>
              </w:rPr>
              <w:t>Total</w:t>
            </w:r>
          </w:p>
        </w:tc>
        <w:tc>
          <w:tcPr>
            <w:tcW w:w="842" w:type="dxa"/>
            <w:tcBorders/>
          </w:tcPr>
          <w:p>
            <w:pPr>
              <w:pStyle w:val="Contenudetableau"/>
              <w:widowControl w:val="false"/>
              <w:jc w:val="center"/>
              <w:rPr>
                <w:sz w:val="16"/>
                <w:szCs w:val="16"/>
              </w:rPr>
            </w:pPr>
            <w:r>
              <w:rPr>
                <w:sz w:val="16"/>
                <w:szCs w:val="16"/>
              </w:rPr>
              <w:t>Moyenne/15</w:t>
            </w:r>
          </w:p>
        </w:tc>
        <w:tc>
          <w:tcPr>
            <w:tcW w:w="811" w:type="dxa"/>
            <w:tcBorders/>
          </w:tcPr>
          <w:p>
            <w:pPr>
              <w:pStyle w:val="Contenudetableau"/>
              <w:widowControl w:val="false"/>
              <w:jc w:val="center"/>
              <w:rPr>
                <w:sz w:val="16"/>
                <w:szCs w:val="16"/>
              </w:rPr>
            </w:pPr>
            <w:r>
              <w:rPr>
                <w:sz w:val="16"/>
                <w:szCs w:val="16"/>
              </w:rPr>
              <w:t>Moyenne/30</w:t>
            </w:r>
          </w:p>
        </w:tc>
      </w:tr>
      <w:tr>
        <w:trPr>
          <w:trHeight w:val="184" w:hRule="atLeast"/>
        </w:trPr>
        <w:tc>
          <w:tcPr>
            <w:tcW w:w="1590" w:type="dxa"/>
            <w:tcBorders/>
          </w:tcPr>
          <w:p>
            <w:pPr>
              <w:pStyle w:val="Contenudetableau"/>
              <w:widowControl w:val="false"/>
              <w:rPr>
                <w:sz w:val="16"/>
                <w:szCs w:val="16"/>
              </w:rPr>
            </w:pPr>
            <w:r>
              <w:rPr>
                <w:sz w:val="16"/>
                <w:szCs w:val="16"/>
              </w:rPr>
              <w:t xml:space="preserve"> </w:t>
            </w:r>
            <w:r>
              <w:rPr>
                <w:sz w:val="16"/>
                <w:szCs w:val="16"/>
              </w:rPr>
              <w:t>note</w:t>
            </w:r>
          </w:p>
        </w:tc>
        <w:tc>
          <w:tcPr>
            <w:tcW w:w="44" w:type="dxa"/>
            <w:tcBorders/>
          </w:tcPr>
          <w:p>
            <w:pPr>
              <w:pStyle w:val="Contenudetableau"/>
              <w:widowControl w:val="false"/>
              <w:rPr>
                <w:sz w:val="16"/>
                <w:szCs w:val="16"/>
              </w:rPr>
            </w:pPr>
            <w:r>
              <w:rPr>
                <w:sz w:val="16"/>
                <w:szCs w:val="16"/>
              </w:rPr>
            </w:r>
          </w:p>
        </w:tc>
        <w:tc>
          <w:tcPr>
            <w:tcW w:w="105" w:type="dxa"/>
            <w:tcBorders/>
          </w:tcPr>
          <w:p>
            <w:pPr>
              <w:pStyle w:val="Contenudetableau"/>
              <w:widowControl w:val="false"/>
              <w:jc w:val="center"/>
              <w:rPr>
                <w:sz w:val="16"/>
                <w:szCs w:val="16"/>
              </w:rPr>
            </w:pPr>
            <w:r>
              <w:rPr>
                <w:sz w:val="16"/>
                <w:szCs w:val="16"/>
              </w:rPr>
            </w:r>
          </w:p>
        </w:tc>
        <w:tc>
          <w:tcPr>
            <w:tcW w:w="106" w:type="dxa"/>
            <w:tcBorders/>
          </w:tcPr>
          <w:p>
            <w:pPr>
              <w:pStyle w:val="Contenudetableau"/>
              <w:widowControl w:val="false"/>
              <w:jc w:val="center"/>
              <w:rPr>
                <w:sz w:val="16"/>
                <w:szCs w:val="16"/>
              </w:rPr>
            </w:pPr>
            <w:r>
              <w:rPr>
                <w:sz w:val="16"/>
                <w:szCs w:val="16"/>
              </w:rPr>
            </w:r>
          </w:p>
        </w:tc>
        <w:tc>
          <w:tcPr>
            <w:tcW w:w="180" w:type="dxa"/>
            <w:tcBorders/>
          </w:tcPr>
          <w:p>
            <w:pPr>
              <w:pStyle w:val="Contenudetableau"/>
              <w:widowControl w:val="false"/>
              <w:jc w:val="center"/>
              <w:rPr>
                <w:sz w:val="16"/>
                <w:szCs w:val="16"/>
              </w:rPr>
            </w:pPr>
            <w:r>
              <w:rPr>
                <w:sz w:val="16"/>
                <w:szCs w:val="16"/>
              </w:rPr>
              <w:t>12</w:t>
            </w:r>
          </w:p>
        </w:tc>
        <w:tc>
          <w:tcPr>
            <w:tcW w:w="104" w:type="dxa"/>
            <w:tcBorders/>
          </w:tcPr>
          <w:p>
            <w:pPr>
              <w:pStyle w:val="Contenudetableau"/>
              <w:widowControl w:val="false"/>
              <w:jc w:val="center"/>
              <w:rPr>
                <w:sz w:val="16"/>
                <w:szCs w:val="16"/>
              </w:rPr>
            </w:pPr>
            <w:r>
              <w:rPr>
                <w:sz w:val="16"/>
                <w:szCs w:val="16"/>
              </w:rPr>
            </w:r>
          </w:p>
        </w:tc>
        <w:tc>
          <w:tcPr>
            <w:tcW w:w="181"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t>12</w:t>
            </w:r>
          </w:p>
        </w:tc>
        <w:tc>
          <w:tcPr>
            <w:tcW w:w="194" w:type="dxa"/>
            <w:tcBorders/>
          </w:tcPr>
          <w:p>
            <w:pPr>
              <w:pStyle w:val="Contenudetableau"/>
              <w:widowControl w:val="false"/>
              <w:jc w:val="center"/>
              <w:rPr>
                <w:sz w:val="16"/>
                <w:szCs w:val="16"/>
              </w:rPr>
            </w:pPr>
            <w:r>
              <w:rPr>
                <w:sz w:val="16"/>
                <w:szCs w:val="16"/>
              </w:rPr>
              <w:t>12</w:t>
            </w:r>
          </w:p>
        </w:tc>
        <w:tc>
          <w:tcPr>
            <w:tcW w:w="103" w:type="dxa"/>
            <w:tcBorders/>
          </w:tcPr>
          <w:p>
            <w:pPr>
              <w:pStyle w:val="Contenudetableau"/>
              <w:widowControl w:val="false"/>
              <w:jc w:val="center"/>
              <w:rPr>
                <w:sz w:val="16"/>
                <w:szCs w:val="16"/>
              </w:rPr>
            </w:pPr>
            <w:r>
              <w:rPr>
                <w:sz w:val="16"/>
                <w:szCs w:val="16"/>
              </w:rPr>
            </w:r>
          </w:p>
        </w:tc>
        <w:tc>
          <w:tcPr>
            <w:tcW w:w="92" w:type="dxa"/>
            <w:tcBorders/>
          </w:tcPr>
          <w:p>
            <w:pPr>
              <w:pStyle w:val="Contenudetableau"/>
              <w:widowControl w:val="false"/>
              <w:jc w:val="center"/>
              <w:rPr>
                <w:sz w:val="16"/>
                <w:szCs w:val="16"/>
              </w:rPr>
            </w:pPr>
            <w:r>
              <w:rPr>
                <w:sz w:val="16"/>
                <w:szCs w:val="16"/>
              </w:rPr>
            </w:r>
          </w:p>
        </w:tc>
        <w:tc>
          <w:tcPr>
            <w:tcW w:w="223"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19" w:type="dxa"/>
            <w:tcBorders/>
          </w:tcPr>
          <w:p>
            <w:pPr>
              <w:pStyle w:val="Contenudetableau"/>
              <w:widowControl w:val="false"/>
              <w:jc w:val="center"/>
              <w:rPr>
                <w:sz w:val="16"/>
                <w:szCs w:val="16"/>
              </w:rPr>
            </w:pPr>
            <w:r>
              <w:rPr>
                <w:sz w:val="16"/>
                <w:szCs w:val="16"/>
              </w:rPr>
              <w:t xml:space="preserve"> </w:t>
            </w:r>
            <w:r>
              <w:rPr>
                <w:sz w:val="16"/>
                <w:szCs w:val="16"/>
              </w:rPr>
              <w:t>12</w:t>
            </w:r>
          </w:p>
        </w:tc>
        <w:tc>
          <w:tcPr>
            <w:tcW w:w="183" w:type="dxa"/>
            <w:tcBorders/>
          </w:tcPr>
          <w:p>
            <w:pPr>
              <w:pStyle w:val="Contenudetableau"/>
              <w:widowControl w:val="false"/>
              <w:jc w:val="center"/>
              <w:rPr>
                <w:sz w:val="16"/>
                <w:szCs w:val="16"/>
              </w:rPr>
            </w:pPr>
            <w:r>
              <w:rPr>
                <w:sz w:val="16"/>
                <w:szCs w:val="16"/>
              </w:rPr>
            </w:r>
          </w:p>
        </w:tc>
        <w:tc>
          <w:tcPr>
            <w:tcW w:w="182" w:type="dxa"/>
            <w:tcBorders/>
          </w:tcPr>
          <w:p>
            <w:pPr>
              <w:pStyle w:val="Contenudetableau"/>
              <w:widowControl w:val="false"/>
              <w:jc w:val="center"/>
              <w:rPr>
                <w:sz w:val="16"/>
                <w:szCs w:val="16"/>
              </w:rPr>
            </w:pPr>
            <w:r>
              <w:rPr>
                <w:sz w:val="16"/>
                <w:szCs w:val="16"/>
              </w:rPr>
              <w:t>12</w:t>
            </w:r>
          </w:p>
        </w:tc>
        <w:tc>
          <w:tcPr>
            <w:tcW w:w="219" w:type="dxa"/>
            <w:tcBorders/>
          </w:tcPr>
          <w:p>
            <w:pPr>
              <w:pStyle w:val="Contenudetableau"/>
              <w:widowControl w:val="false"/>
              <w:jc w:val="center"/>
              <w:rPr>
                <w:sz w:val="16"/>
                <w:szCs w:val="16"/>
              </w:rPr>
            </w:pPr>
            <w:r>
              <w:rPr>
                <w:sz w:val="16"/>
                <w:szCs w:val="16"/>
              </w:rPr>
            </w:r>
          </w:p>
        </w:tc>
        <w:tc>
          <w:tcPr>
            <w:tcW w:w="231" w:type="dxa"/>
            <w:tcBorders/>
          </w:tcPr>
          <w:p>
            <w:pPr>
              <w:pStyle w:val="Contenudetableau"/>
              <w:widowControl w:val="false"/>
              <w:jc w:val="center"/>
              <w:rPr>
                <w:sz w:val="16"/>
                <w:szCs w:val="16"/>
              </w:rPr>
            </w:pPr>
            <w:r>
              <w:rPr>
                <w:sz w:val="16"/>
                <w:szCs w:val="16"/>
              </w:rPr>
              <w:t xml:space="preserve"> </w:t>
            </w: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24"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r>
          </w:p>
        </w:tc>
        <w:tc>
          <w:tcPr>
            <w:tcW w:w="181" w:type="dxa"/>
            <w:tcBorders/>
          </w:tcPr>
          <w:p>
            <w:pPr>
              <w:pStyle w:val="Contenudetableau"/>
              <w:widowControl w:val="false"/>
              <w:jc w:val="center"/>
              <w:rPr>
                <w:sz w:val="16"/>
                <w:szCs w:val="16"/>
              </w:rPr>
            </w:pPr>
            <w:r>
              <w:rPr>
                <w:sz w:val="16"/>
                <w:szCs w:val="16"/>
              </w:rPr>
            </w:r>
          </w:p>
        </w:tc>
        <w:tc>
          <w:tcPr>
            <w:tcW w:w="224" w:type="dxa"/>
            <w:tcBorders/>
          </w:tcPr>
          <w:p>
            <w:pPr>
              <w:pStyle w:val="Contenudetableau"/>
              <w:widowControl w:val="false"/>
              <w:jc w:val="center"/>
              <w:rPr>
                <w:sz w:val="16"/>
                <w:szCs w:val="16"/>
              </w:rPr>
            </w:pPr>
            <w:r>
              <w:rPr>
                <w:sz w:val="16"/>
                <w:szCs w:val="16"/>
              </w:rPr>
              <w:t xml:space="preserve"> </w:t>
            </w:r>
            <w:r>
              <w:rPr>
                <w:sz w:val="16"/>
                <w:szCs w:val="16"/>
              </w:rPr>
              <w:t>12</w:t>
            </w:r>
          </w:p>
        </w:tc>
        <w:tc>
          <w:tcPr>
            <w:tcW w:w="180" w:type="dxa"/>
            <w:tcBorders/>
          </w:tcPr>
          <w:p>
            <w:pPr>
              <w:pStyle w:val="Contenudetableau"/>
              <w:widowControl w:val="false"/>
              <w:jc w:val="center"/>
              <w:rPr>
                <w:sz w:val="16"/>
                <w:szCs w:val="16"/>
              </w:rPr>
            </w:pPr>
            <w:r>
              <w:rPr>
                <w:sz w:val="16"/>
                <w:szCs w:val="16"/>
              </w:rPr>
            </w:r>
          </w:p>
        </w:tc>
        <w:tc>
          <w:tcPr>
            <w:tcW w:w="195"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r>
          </w:p>
        </w:tc>
        <w:tc>
          <w:tcPr>
            <w:tcW w:w="226" w:type="dxa"/>
            <w:tcBorders/>
          </w:tcPr>
          <w:p>
            <w:pPr>
              <w:pStyle w:val="Contenudetableau"/>
              <w:widowControl w:val="false"/>
              <w:jc w:val="center"/>
              <w:rPr>
                <w:sz w:val="16"/>
                <w:szCs w:val="16"/>
              </w:rPr>
            </w:pPr>
            <w:r>
              <w:rPr>
                <w:sz w:val="16"/>
                <w:szCs w:val="16"/>
              </w:rPr>
              <w:t xml:space="preserve"> </w:t>
            </w:r>
            <w:r>
              <w:rPr>
                <w:sz w:val="16"/>
                <w:szCs w:val="16"/>
              </w:rPr>
              <w:t>12</w:t>
            </w:r>
          </w:p>
        </w:tc>
        <w:tc>
          <w:tcPr>
            <w:tcW w:w="225" w:type="dxa"/>
            <w:tcBorders/>
          </w:tcPr>
          <w:p>
            <w:pPr>
              <w:pStyle w:val="Contenudetableau"/>
              <w:widowControl w:val="false"/>
              <w:jc w:val="center"/>
              <w:rPr>
                <w:sz w:val="16"/>
                <w:szCs w:val="16"/>
              </w:rPr>
            </w:pPr>
            <w:r>
              <w:rPr>
                <w:sz w:val="16"/>
                <w:szCs w:val="16"/>
              </w:rPr>
            </w:r>
          </w:p>
        </w:tc>
        <w:tc>
          <w:tcPr>
            <w:tcW w:w="228" w:type="dxa"/>
            <w:tcBorders/>
          </w:tcPr>
          <w:p>
            <w:pPr>
              <w:pStyle w:val="Contenudetableau"/>
              <w:widowControl w:val="false"/>
              <w:jc w:val="center"/>
              <w:rPr>
                <w:sz w:val="16"/>
                <w:szCs w:val="16"/>
              </w:rPr>
            </w:pPr>
            <w:r>
              <w:rPr>
                <w:sz w:val="16"/>
                <w:szCs w:val="16"/>
              </w:rPr>
              <w:t xml:space="preserve"> </w:t>
            </w:r>
            <w:r>
              <w:rPr>
                <w:sz w:val="16"/>
                <w:szCs w:val="16"/>
              </w:rPr>
              <w:t>12</w:t>
            </w:r>
          </w:p>
        </w:tc>
        <w:tc>
          <w:tcPr>
            <w:tcW w:w="179" w:type="dxa"/>
            <w:tcBorders/>
          </w:tcPr>
          <w:p>
            <w:pPr>
              <w:pStyle w:val="Contenudetableau"/>
              <w:widowControl w:val="false"/>
              <w:jc w:val="center"/>
              <w:rPr>
                <w:sz w:val="16"/>
                <w:szCs w:val="16"/>
              </w:rPr>
            </w:pPr>
            <w:r>
              <w:rPr>
                <w:sz w:val="16"/>
                <w:szCs w:val="16"/>
              </w:rPr>
            </w:r>
          </w:p>
        </w:tc>
        <w:tc>
          <w:tcPr>
            <w:tcW w:w="226" w:type="dxa"/>
            <w:tcBorders/>
          </w:tcPr>
          <w:p>
            <w:pPr>
              <w:pStyle w:val="Contenudetableau"/>
              <w:widowControl w:val="false"/>
              <w:jc w:val="center"/>
              <w:rPr>
                <w:sz w:val="16"/>
                <w:szCs w:val="16"/>
              </w:rPr>
            </w:pPr>
            <w:r>
              <w:rPr>
                <w:sz w:val="16"/>
                <w:szCs w:val="16"/>
              </w:rPr>
              <w:t xml:space="preserve"> </w:t>
            </w:r>
            <w:r>
              <w:rPr>
                <w:sz w:val="16"/>
                <w:szCs w:val="16"/>
              </w:rPr>
              <w:t>12</w:t>
            </w:r>
          </w:p>
        </w:tc>
        <w:tc>
          <w:tcPr>
            <w:tcW w:w="227" w:type="dxa"/>
            <w:tcBorders/>
          </w:tcPr>
          <w:p>
            <w:pPr>
              <w:pStyle w:val="Contenudetableau"/>
              <w:widowControl w:val="false"/>
              <w:jc w:val="center"/>
              <w:rPr>
                <w:sz w:val="16"/>
                <w:szCs w:val="16"/>
              </w:rPr>
            </w:pPr>
            <w:r>
              <w:rPr>
                <w:sz w:val="16"/>
                <w:szCs w:val="16"/>
              </w:rPr>
              <w:t xml:space="preserve"> </w:t>
            </w:r>
            <w:r>
              <w:rPr>
                <w:sz w:val="16"/>
                <w:szCs w:val="16"/>
              </w:rPr>
              <w:t>12</w:t>
            </w:r>
          </w:p>
        </w:tc>
        <w:tc>
          <w:tcPr>
            <w:tcW w:w="363" w:type="dxa"/>
            <w:tcBorders/>
          </w:tcPr>
          <w:p>
            <w:pPr>
              <w:pStyle w:val="Contenudetableau"/>
              <w:widowControl w:val="false"/>
              <w:rPr>
                <w:sz w:val="16"/>
                <w:szCs w:val="16"/>
              </w:rPr>
            </w:pPr>
            <w:r>
              <w:rPr>
                <w:sz w:val="16"/>
                <w:szCs w:val="16"/>
              </w:rPr>
              <w:t xml:space="preserve">  </w:t>
            </w:r>
            <w:r>
              <w:rPr>
                <w:sz w:val="16"/>
                <w:szCs w:val="16"/>
              </w:rPr>
              <w:t>180</w:t>
            </w:r>
          </w:p>
        </w:tc>
        <w:tc>
          <w:tcPr>
            <w:tcW w:w="842" w:type="dxa"/>
            <w:tcBorders/>
          </w:tcPr>
          <w:p>
            <w:pPr>
              <w:pStyle w:val="Contenudetableau"/>
              <w:widowControl w:val="false"/>
              <w:jc w:val="center"/>
              <w:rPr>
                <w:sz w:val="16"/>
                <w:szCs w:val="16"/>
              </w:rPr>
            </w:pPr>
            <w:r>
              <w:rPr>
                <w:sz w:val="16"/>
                <w:szCs w:val="16"/>
              </w:rPr>
              <w:t xml:space="preserve">        </w:t>
            </w:r>
            <w:r>
              <w:rPr>
                <w:sz w:val="16"/>
                <w:szCs w:val="16"/>
              </w:rPr>
              <w:t>12</w:t>
            </w:r>
          </w:p>
        </w:tc>
        <w:tc>
          <w:tcPr>
            <w:tcW w:w="811" w:type="dxa"/>
            <w:tcBorders/>
          </w:tcPr>
          <w:p>
            <w:pPr>
              <w:pStyle w:val="Contenudetableau"/>
              <w:widowControl w:val="false"/>
              <w:jc w:val="center"/>
              <w:rPr>
                <w:sz w:val="16"/>
                <w:szCs w:val="16"/>
              </w:rPr>
            </w:pPr>
            <w:r>
              <w:rPr>
                <w:sz w:val="16"/>
                <w:szCs w:val="16"/>
              </w:rPr>
              <w:t xml:space="preserve"> </w:t>
            </w:r>
            <w:r>
              <w:rPr>
                <w:sz w:val="16"/>
                <w:szCs w:val="16"/>
              </w:rPr>
              <w:t>6</w:t>
            </w:r>
          </w:p>
        </w:tc>
      </w:tr>
      <w:tr>
        <w:trPr>
          <w:trHeight w:val="184" w:hRule="atLeast"/>
        </w:trPr>
        <w:tc>
          <w:tcPr>
            <w:tcW w:w="1590" w:type="dxa"/>
            <w:tcBorders/>
          </w:tcPr>
          <w:p>
            <w:pPr>
              <w:pStyle w:val="Contenudetableau"/>
              <w:widowControl w:val="false"/>
              <w:rPr>
                <w:sz w:val="16"/>
                <w:szCs w:val="16"/>
              </w:rPr>
            </w:pPr>
            <w:r>
              <w:rPr>
                <w:sz w:val="16"/>
                <w:szCs w:val="16"/>
              </w:rPr>
              <w:t xml:space="preserve"> </w:t>
            </w:r>
            <w:r>
              <w:rPr>
                <w:sz w:val="16"/>
                <w:szCs w:val="16"/>
              </w:rPr>
              <w:t xml:space="preserve">Moyennage                  </w:t>
            </w:r>
          </w:p>
        </w:tc>
        <w:tc>
          <w:tcPr>
            <w:tcW w:w="44" w:type="dxa"/>
            <w:tcBorders/>
          </w:tcPr>
          <w:p>
            <w:pPr>
              <w:pStyle w:val="Contenudetableau"/>
              <w:widowControl w:val="false"/>
              <w:rPr>
                <w:sz w:val="16"/>
                <w:szCs w:val="16"/>
              </w:rPr>
            </w:pPr>
            <w:r>
              <w:rPr>
                <w:sz w:val="16"/>
                <w:szCs w:val="16"/>
              </w:rPr>
            </w:r>
          </w:p>
        </w:tc>
        <w:tc>
          <w:tcPr>
            <w:tcW w:w="105" w:type="dxa"/>
            <w:tcBorders/>
          </w:tcPr>
          <w:p>
            <w:pPr>
              <w:pStyle w:val="Contenudetableau"/>
              <w:widowControl w:val="false"/>
              <w:jc w:val="center"/>
              <w:rPr>
                <w:sz w:val="16"/>
                <w:szCs w:val="16"/>
              </w:rPr>
            </w:pPr>
            <w:r>
              <w:rPr>
                <w:sz w:val="16"/>
                <w:szCs w:val="16"/>
              </w:rPr>
            </w:r>
          </w:p>
        </w:tc>
        <w:tc>
          <w:tcPr>
            <w:tcW w:w="106" w:type="dxa"/>
            <w:tcBorders/>
          </w:tcPr>
          <w:p>
            <w:pPr>
              <w:pStyle w:val="Contenudetableau"/>
              <w:widowControl w:val="false"/>
              <w:jc w:val="center"/>
              <w:rPr>
                <w:sz w:val="16"/>
                <w:szCs w:val="16"/>
              </w:rPr>
            </w:pPr>
            <w:r>
              <w:rPr>
                <w:sz w:val="16"/>
                <w:szCs w:val="16"/>
              </w:rPr>
            </w:r>
          </w:p>
        </w:tc>
        <w:tc>
          <w:tcPr>
            <w:tcW w:w="180" w:type="dxa"/>
            <w:tcBorders/>
          </w:tcPr>
          <w:p>
            <w:pPr>
              <w:pStyle w:val="Contenudetableau"/>
              <w:widowControl w:val="false"/>
              <w:jc w:val="center"/>
              <w:rPr>
                <w:sz w:val="16"/>
                <w:szCs w:val="16"/>
              </w:rPr>
            </w:pPr>
            <w:r>
              <w:rPr>
                <w:sz w:val="16"/>
                <w:szCs w:val="16"/>
              </w:rPr>
              <w:t>12</w:t>
            </w:r>
          </w:p>
        </w:tc>
        <w:tc>
          <w:tcPr>
            <w:tcW w:w="104" w:type="dxa"/>
            <w:tcBorders/>
          </w:tcPr>
          <w:p>
            <w:pPr>
              <w:pStyle w:val="Contenudetableau"/>
              <w:widowControl w:val="false"/>
              <w:jc w:val="center"/>
              <w:rPr>
                <w:sz w:val="16"/>
                <w:szCs w:val="16"/>
              </w:rPr>
            </w:pPr>
            <w:r>
              <w:rPr>
                <w:sz w:val="16"/>
                <w:szCs w:val="16"/>
              </w:rPr>
            </w:r>
          </w:p>
        </w:tc>
        <w:tc>
          <w:tcPr>
            <w:tcW w:w="181"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t>12</w:t>
            </w:r>
          </w:p>
        </w:tc>
        <w:tc>
          <w:tcPr>
            <w:tcW w:w="194" w:type="dxa"/>
            <w:tcBorders/>
          </w:tcPr>
          <w:p>
            <w:pPr>
              <w:pStyle w:val="Contenudetableau"/>
              <w:widowControl w:val="false"/>
              <w:jc w:val="center"/>
              <w:rPr>
                <w:sz w:val="16"/>
                <w:szCs w:val="16"/>
              </w:rPr>
            </w:pPr>
            <w:r>
              <w:rPr>
                <w:sz w:val="16"/>
                <w:szCs w:val="16"/>
              </w:rPr>
              <w:t>12</w:t>
            </w:r>
          </w:p>
        </w:tc>
        <w:tc>
          <w:tcPr>
            <w:tcW w:w="103" w:type="dxa"/>
            <w:tcBorders/>
          </w:tcPr>
          <w:p>
            <w:pPr>
              <w:pStyle w:val="Contenudetableau"/>
              <w:widowControl w:val="false"/>
              <w:jc w:val="center"/>
              <w:rPr>
                <w:sz w:val="16"/>
                <w:szCs w:val="16"/>
              </w:rPr>
            </w:pPr>
            <w:r>
              <w:rPr>
                <w:sz w:val="16"/>
                <w:szCs w:val="16"/>
              </w:rPr>
            </w:r>
          </w:p>
        </w:tc>
        <w:tc>
          <w:tcPr>
            <w:tcW w:w="92" w:type="dxa"/>
            <w:tcBorders/>
          </w:tcPr>
          <w:p>
            <w:pPr>
              <w:pStyle w:val="Contenudetableau"/>
              <w:widowControl w:val="false"/>
              <w:jc w:val="center"/>
              <w:rPr>
                <w:sz w:val="16"/>
                <w:szCs w:val="16"/>
              </w:rPr>
            </w:pPr>
            <w:r>
              <w:rPr>
                <w:sz w:val="16"/>
                <w:szCs w:val="16"/>
              </w:rPr>
            </w:r>
          </w:p>
        </w:tc>
        <w:tc>
          <w:tcPr>
            <w:tcW w:w="223" w:type="dxa"/>
            <w:tcBorders/>
          </w:tcPr>
          <w:p>
            <w:pPr>
              <w:pStyle w:val="Contenudetableau"/>
              <w:widowControl w:val="false"/>
              <w:jc w:val="center"/>
              <w:rPr>
                <w:sz w:val="16"/>
                <w:szCs w:val="16"/>
              </w:rPr>
            </w:pP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19" w:type="dxa"/>
            <w:tcBorders/>
          </w:tcPr>
          <w:p>
            <w:pPr>
              <w:pStyle w:val="Contenudetableau"/>
              <w:widowControl w:val="false"/>
              <w:jc w:val="center"/>
              <w:rPr>
                <w:sz w:val="16"/>
                <w:szCs w:val="16"/>
              </w:rPr>
            </w:pPr>
            <w:r>
              <w:rPr>
                <w:sz w:val="16"/>
                <w:szCs w:val="16"/>
              </w:rPr>
              <w:t xml:space="preserve"> </w:t>
            </w:r>
            <w:r>
              <w:rPr>
                <w:sz w:val="16"/>
                <w:szCs w:val="16"/>
              </w:rPr>
              <w:t>12</w:t>
            </w:r>
          </w:p>
        </w:tc>
        <w:tc>
          <w:tcPr>
            <w:tcW w:w="183" w:type="dxa"/>
            <w:tcBorders/>
          </w:tcPr>
          <w:p>
            <w:pPr>
              <w:pStyle w:val="Contenudetableau"/>
              <w:widowControl w:val="false"/>
              <w:jc w:val="center"/>
              <w:rPr>
                <w:sz w:val="16"/>
                <w:szCs w:val="16"/>
              </w:rPr>
            </w:pPr>
            <w:r>
              <w:rPr>
                <w:sz w:val="16"/>
                <w:szCs w:val="16"/>
              </w:rPr>
            </w:r>
          </w:p>
        </w:tc>
        <w:tc>
          <w:tcPr>
            <w:tcW w:w="182" w:type="dxa"/>
            <w:tcBorders/>
          </w:tcPr>
          <w:p>
            <w:pPr>
              <w:pStyle w:val="Contenudetableau"/>
              <w:widowControl w:val="false"/>
              <w:jc w:val="center"/>
              <w:rPr>
                <w:sz w:val="16"/>
                <w:szCs w:val="16"/>
              </w:rPr>
            </w:pPr>
            <w:r>
              <w:rPr>
                <w:sz w:val="16"/>
                <w:szCs w:val="16"/>
              </w:rPr>
              <w:t>12</w:t>
            </w:r>
          </w:p>
        </w:tc>
        <w:tc>
          <w:tcPr>
            <w:tcW w:w="219" w:type="dxa"/>
            <w:tcBorders/>
          </w:tcPr>
          <w:p>
            <w:pPr>
              <w:pStyle w:val="Contenudetableau"/>
              <w:widowControl w:val="false"/>
              <w:jc w:val="center"/>
              <w:rPr>
                <w:sz w:val="16"/>
                <w:szCs w:val="16"/>
              </w:rPr>
            </w:pPr>
            <w:r>
              <w:rPr>
                <w:sz w:val="16"/>
                <w:szCs w:val="16"/>
              </w:rPr>
            </w:r>
          </w:p>
        </w:tc>
        <w:tc>
          <w:tcPr>
            <w:tcW w:w="231" w:type="dxa"/>
            <w:tcBorders/>
          </w:tcPr>
          <w:p>
            <w:pPr>
              <w:pStyle w:val="Contenudetableau"/>
              <w:widowControl w:val="false"/>
              <w:jc w:val="center"/>
              <w:rPr>
                <w:sz w:val="16"/>
                <w:szCs w:val="16"/>
              </w:rPr>
            </w:pPr>
            <w:r>
              <w:rPr>
                <w:sz w:val="16"/>
                <w:szCs w:val="16"/>
              </w:rPr>
              <w:t xml:space="preserve"> </w:t>
            </w:r>
            <w:r>
              <w:rPr>
                <w:sz w:val="16"/>
                <w:szCs w:val="16"/>
              </w:rPr>
              <w:t>12</w:t>
            </w:r>
          </w:p>
        </w:tc>
        <w:tc>
          <w:tcPr>
            <w:tcW w:w="202" w:type="dxa"/>
            <w:tcBorders/>
          </w:tcPr>
          <w:p>
            <w:pPr>
              <w:pStyle w:val="Contenudetableau"/>
              <w:widowControl w:val="false"/>
              <w:jc w:val="center"/>
              <w:rPr>
                <w:sz w:val="16"/>
                <w:szCs w:val="16"/>
              </w:rPr>
            </w:pPr>
            <w:r>
              <w:rPr>
                <w:sz w:val="16"/>
                <w:szCs w:val="16"/>
              </w:rPr>
            </w:r>
          </w:p>
        </w:tc>
        <w:tc>
          <w:tcPr>
            <w:tcW w:w="224"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r>
          </w:p>
        </w:tc>
        <w:tc>
          <w:tcPr>
            <w:tcW w:w="181" w:type="dxa"/>
            <w:tcBorders/>
          </w:tcPr>
          <w:p>
            <w:pPr>
              <w:pStyle w:val="Contenudetableau"/>
              <w:widowControl w:val="false"/>
              <w:jc w:val="center"/>
              <w:rPr>
                <w:sz w:val="16"/>
                <w:szCs w:val="16"/>
              </w:rPr>
            </w:pPr>
            <w:r>
              <w:rPr>
                <w:sz w:val="16"/>
                <w:szCs w:val="16"/>
              </w:rPr>
            </w:r>
          </w:p>
        </w:tc>
        <w:tc>
          <w:tcPr>
            <w:tcW w:w="224" w:type="dxa"/>
            <w:tcBorders/>
          </w:tcPr>
          <w:p>
            <w:pPr>
              <w:pStyle w:val="Contenudetableau"/>
              <w:widowControl w:val="false"/>
              <w:jc w:val="center"/>
              <w:rPr>
                <w:sz w:val="16"/>
                <w:szCs w:val="16"/>
              </w:rPr>
            </w:pPr>
            <w:r>
              <w:rPr>
                <w:sz w:val="16"/>
                <w:szCs w:val="16"/>
              </w:rPr>
              <w:t xml:space="preserve"> </w:t>
            </w:r>
            <w:r>
              <w:rPr>
                <w:sz w:val="16"/>
                <w:szCs w:val="16"/>
              </w:rPr>
              <w:t>12</w:t>
            </w:r>
          </w:p>
        </w:tc>
        <w:tc>
          <w:tcPr>
            <w:tcW w:w="180" w:type="dxa"/>
            <w:tcBorders/>
          </w:tcPr>
          <w:p>
            <w:pPr>
              <w:pStyle w:val="Contenudetableau"/>
              <w:widowControl w:val="false"/>
              <w:jc w:val="center"/>
              <w:rPr>
                <w:sz w:val="16"/>
                <w:szCs w:val="16"/>
              </w:rPr>
            </w:pPr>
            <w:r>
              <w:rPr>
                <w:sz w:val="16"/>
                <w:szCs w:val="16"/>
              </w:rPr>
            </w:r>
          </w:p>
        </w:tc>
        <w:tc>
          <w:tcPr>
            <w:tcW w:w="195" w:type="dxa"/>
            <w:tcBorders/>
          </w:tcPr>
          <w:p>
            <w:pPr>
              <w:pStyle w:val="Contenudetableau"/>
              <w:widowControl w:val="false"/>
              <w:jc w:val="center"/>
              <w:rPr>
                <w:sz w:val="16"/>
                <w:szCs w:val="16"/>
              </w:rPr>
            </w:pPr>
            <w:r>
              <w:rPr>
                <w:sz w:val="16"/>
                <w:szCs w:val="16"/>
              </w:rPr>
              <w:t>12</w:t>
            </w:r>
          </w:p>
        </w:tc>
        <w:tc>
          <w:tcPr>
            <w:tcW w:w="182" w:type="dxa"/>
            <w:tcBorders/>
          </w:tcPr>
          <w:p>
            <w:pPr>
              <w:pStyle w:val="Contenudetableau"/>
              <w:widowControl w:val="false"/>
              <w:jc w:val="center"/>
              <w:rPr>
                <w:sz w:val="16"/>
                <w:szCs w:val="16"/>
              </w:rPr>
            </w:pPr>
            <w:r>
              <w:rPr>
                <w:sz w:val="16"/>
                <w:szCs w:val="16"/>
              </w:rPr>
            </w:r>
          </w:p>
        </w:tc>
        <w:tc>
          <w:tcPr>
            <w:tcW w:w="226" w:type="dxa"/>
            <w:tcBorders/>
          </w:tcPr>
          <w:p>
            <w:pPr>
              <w:pStyle w:val="Contenudetableau"/>
              <w:widowControl w:val="false"/>
              <w:jc w:val="center"/>
              <w:rPr>
                <w:sz w:val="16"/>
                <w:szCs w:val="16"/>
              </w:rPr>
            </w:pPr>
            <w:r>
              <w:rPr>
                <w:sz w:val="16"/>
                <w:szCs w:val="16"/>
              </w:rPr>
              <w:t xml:space="preserve"> </w:t>
            </w:r>
            <w:r>
              <w:rPr>
                <w:sz w:val="16"/>
                <w:szCs w:val="16"/>
              </w:rPr>
              <w:t>12</w:t>
            </w:r>
          </w:p>
        </w:tc>
        <w:tc>
          <w:tcPr>
            <w:tcW w:w="225" w:type="dxa"/>
            <w:tcBorders/>
          </w:tcPr>
          <w:p>
            <w:pPr>
              <w:pStyle w:val="Contenudetableau"/>
              <w:widowControl w:val="false"/>
              <w:jc w:val="center"/>
              <w:rPr>
                <w:sz w:val="16"/>
                <w:szCs w:val="16"/>
              </w:rPr>
            </w:pPr>
            <w:r>
              <w:rPr>
                <w:sz w:val="16"/>
                <w:szCs w:val="16"/>
              </w:rPr>
            </w:r>
          </w:p>
        </w:tc>
        <w:tc>
          <w:tcPr>
            <w:tcW w:w="228" w:type="dxa"/>
            <w:tcBorders/>
          </w:tcPr>
          <w:p>
            <w:pPr>
              <w:pStyle w:val="Contenudetableau"/>
              <w:widowControl w:val="false"/>
              <w:jc w:val="center"/>
              <w:rPr>
                <w:sz w:val="16"/>
                <w:szCs w:val="16"/>
              </w:rPr>
            </w:pPr>
            <w:r>
              <w:rPr>
                <w:sz w:val="16"/>
                <w:szCs w:val="16"/>
              </w:rPr>
              <w:t xml:space="preserve"> </w:t>
            </w:r>
            <w:r>
              <w:rPr>
                <w:sz w:val="16"/>
                <w:szCs w:val="16"/>
              </w:rPr>
              <w:t>12</w:t>
            </w:r>
          </w:p>
        </w:tc>
        <w:tc>
          <w:tcPr>
            <w:tcW w:w="179" w:type="dxa"/>
            <w:tcBorders/>
          </w:tcPr>
          <w:p>
            <w:pPr>
              <w:pStyle w:val="Contenudetableau"/>
              <w:widowControl w:val="false"/>
              <w:jc w:val="center"/>
              <w:rPr>
                <w:sz w:val="16"/>
                <w:szCs w:val="16"/>
              </w:rPr>
            </w:pPr>
            <w:r>
              <w:rPr>
                <w:sz w:val="16"/>
                <w:szCs w:val="16"/>
              </w:rPr>
            </w:r>
          </w:p>
        </w:tc>
        <w:tc>
          <w:tcPr>
            <w:tcW w:w="226" w:type="dxa"/>
            <w:tcBorders/>
          </w:tcPr>
          <w:p>
            <w:pPr>
              <w:pStyle w:val="Contenudetableau"/>
              <w:widowControl w:val="false"/>
              <w:jc w:val="center"/>
              <w:rPr>
                <w:sz w:val="16"/>
                <w:szCs w:val="16"/>
              </w:rPr>
            </w:pPr>
            <w:r>
              <w:rPr>
                <w:sz w:val="16"/>
                <w:szCs w:val="16"/>
              </w:rPr>
              <w:t xml:space="preserve"> </w:t>
            </w:r>
            <w:r>
              <w:rPr>
                <w:sz w:val="16"/>
                <w:szCs w:val="16"/>
              </w:rPr>
              <w:t>12</w:t>
            </w:r>
          </w:p>
        </w:tc>
        <w:tc>
          <w:tcPr>
            <w:tcW w:w="227" w:type="dxa"/>
            <w:tcBorders/>
          </w:tcPr>
          <w:p>
            <w:pPr>
              <w:pStyle w:val="Contenudetableau"/>
              <w:widowControl w:val="false"/>
              <w:jc w:val="center"/>
              <w:rPr>
                <w:sz w:val="16"/>
                <w:szCs w:val="16"/>
              </w:rPr>
            </w:pPr>
            <w:r>
              <w:rPr>
                <w:sz w:val="16"/>
                <w:szCs w:val="16"/>
              </w:rPr>
              <w:t xml:space="preserve"> </w:t>
            </w:r>
            <w:r>
              <w:rPr>
                <w:sz w:val="16"/>
                <w:szCs w:val="16"/>
              </w:rPr>
              <w:t>12</w:t>
            </w:r>
          </w:p>
        </w:tc>
        <w:tc>
          <w:tcPr>
            <w:tcW w:w="363" w:type="dxa"/>
            <w:tcBorders/>
          </w:tcPr>
          <w:p>
            <w:pPr>
              <w:pStyle w:val="Contenudetableau"/>
              <w:widowControl w:val="false"/>
              <w:jc w:val="center"/>
              <w:rPr>
                <w:sz w:val="16"/>
                <w:szCs w:val="16"/>
              </w:rPr>
            </w:pPr>
            <w:r>
              <w:rPr>
                <w:sz w:val="16"/>
                <w:szCs w:val="16"/>
              </w:rPr>
              <w:t xml:space="preserve"> </w:t>
            </w:r>
            <w:r>
              <w:rPr>
                <w:sz w:val="16"/>
                <w:szCs w:val="16"/>
              </w:rPr>
              <w:t>180</w:t>
            </w:r>
          </w:p>
        </w:tc>
        <w:tc>
          <w:tcPr>
            <w:tcW w:w="842" w:type="dxa"/>
            <w:tcBorders/>
          </w:tcPr>
          <w:p>
            <w:pPr>
              <w:pStyle w:val="Contenudetableau"/>
              <w:widowControl w:val="false"/>
              <w:jc w:val="center"/>
              <w:rPr>
                <w:sz w:val="16"/>
                <w:szCs w:val="16"/>
              </w:rPr>
            </w:pPr>
            <w:r>
              <w:rPr>
                <w:sz w:val="16"/>
                <w:szCs w:val="16"/>
              </w:rPr>
              <w:t xml:space="preserve">       </w:t>
            </w:r>
            <w:r>
              <w:rPr>
                <w:sz w:val="16"/>
                <w:szCs w:val="16"/>
              </w:rPr>
              <w:t>12</w:t>
            </w:r>
          </w:p>
        </w:tc>
        <w:tc>
          <w:tcPr>
            <w:tcW w:w="811" w:type="dxa"/>
            <w:tcBorders/>
          </w:tcPr>
          <w:p>
            <w:pPr>
              <w:pStyle w:val="Contenudetableau"/>
              <w:widowControl w:val="false"/>
              <w:jc w:val="center"/>
              <w:rPr>
                <w:sz w:val="16"/>
                <w:szCs w:val="16"/>
              </w:rPr>
            </w:pPr>
            <w:r>
              <w:rPr>
                <w:sz w:val="16"/>
                <w:szCs w:val="16"/>
              </w:rPr>
              <w:t xml:space="preserve"> </w:t>
            </w:r>
            <w:r>
              <w:rPr>
                <w:sz w:val="16"/>
                <w:szCs w:val="16"/>
              </w:rPr>
              <w:t>6</w:t>
            </w:r>
          </w:p>
        </w:tc>
      </w:tr>
    </w:tbl>
    <w:p>
      <w:pPr>
        <w:pStyle w:val="Normal"/>
        <w:jc w:val="both"/>
        <w:rPr/>
      </w:pPr>
      <w:r>
        <w:rPr>
          <w:b/>
          <w:bCs/>
        </w:rPr>
        <w:t xml:space="preserve">     </w:t>
      </w:r>
      <w:r>
        <w:rPr>
          <w:b/>
          <w:bCs/>
        </w:rPr>
        <w:br/>
      </w:r>
      <w:r>
        <w:rPr>
          <w:rFonts w:ascii="Times New Roman" w:hAnsi="Times New Roman"/>
          <w:sz w:val="22"/>
          <w:szCs w:val="22"/>
        </w:rPr>
        <w:tab/>
        <w:t>Ces trois exemples suffisent à montrer que la rotation par permutations circulaires des élèves ne change en rien les moyennages effectués, s’il y a à chaque fois 15 élèves absents.</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C’est mathématiquement la même chose sur terre pour tous les hémisphères éclairés pendant le jour, qui ont tous une température moyenne d’au moins 15°C pendant qu’ils sont éclairés, comme nous le verrons au paragraphe 3 ci-dessous. Par contre, rien ne peut être dit </w:t>
      </w:r>
      <w:r>
        <w:rPr>
          <w:rFonts w:ascii="Times New Roman" w:hAnsi="Times New Roman"/>
          <w:b/>
          <w:bCs/>
          <w:sz w:val="22"/>
          <w:szCs w:val="22"/>
        </w:rPr>
        <w:t>à partir de l’irradiance</w:t>
      </w:r>
      <w:r>
        <w:rPr>
          <w:rFonts w:ascii="Times New Roman" w:hAnsi="Times New Roman"/>
          <w:sz w:val="22"/>
          <w:szCs w:val="22"/>
        </w:rPr>
        <w:t xml:space="preserve"> pour évaluer la température réelle qui règne sur le côté nuit.</w:t>
      </w:r>
    </w:p>
    <w:p>
      <w:pPr>
        <w:pStyle w:val="Normal"/>
        <w:jc w:val="both"/>
        <w:rPr/>
      </w:pPr>
      <w:r>
        <w:rPr/>
      </w:r>
    </w:p>
    <w:p>
      <w:pPr>
        <w:sectPr>
          <w:headerReference w:type="default" r:id="rId4"/>
          <w:footerReference w:type="default" r:id="rId5"/>
          <w:footnotePr>
            <w:numFmt w:val="decimal"/>
          </w:footnotePr>
          <w:type w:val="nextPage"/>
          <w:pgSz w:w="11906" w:h="16838"/>
          <w:pgMar w:left="1134" w:right="1134" w:gutter="0" w:header="1134" w:top="1693" w:footer="1134" w:bottom="1693"/>
          <w:pgNumType w:fmt="decimal"/>
          <w:formProt w:val="false"/>
          <w:textDirection w:val="lrTb"/>
          <w:docGrid w:type="default" w:linePitch="600" w:charSpace="32768"/>
        </w:sectPr>
      </w:pPr>
    </w:p>
    <w:p>
      <w:pPr>
        <w:pStyle w:val="Texteprformat"/>
        <w:spacing w:before="0" w:after="283"/>
        <w:rPr>
          <w:rFonts w:ascii="Times New Roman" w:hAnsi="Times New Roman"/>
          <w:sz w:val="22"/>
          <w:szCs w:val="22"/>
        </w:rPr>
      </w:pPr>
      <w:r>
        <w:rPr>
          <w:rFonts w:ascii="Times New Roman" w:hAnsi="Times New Roman"/>
          <w:sz w:val="22"/>
          <w:szCs w:val="22"/>
        </w:rPr>
      </w:r>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Normal"/>
        <w:jc w:val="both"/>
        <w:rPr/>
      </w:pPr>
      <w:r>
        <w:rPr/>
        <w:t xml:space="preserve">                                                  </w:t>
      </w:r>
      <w:r>
        <w:drawing>
          <wp:anchor behindDoc="0" distT="0" distB="0" distL="0" distR="0" simplePos="0" locked="0" layoutInCell="0" allowOverlap="1" relativeHeight="16">
            <wp:simplePos x="0" y="0"/>
            <wp:positionH relativeFrom="column">
              <wp:posOffset>10795</wp:posOffset>
            </wp:positionH>
            <wp:positionV relativeFrom="paragraph">
              <wp:posOffset>38100</wp:posOffset>
            </wp:positionV>
            <wp:extent cx="2878455" cy="2891790"/>
            <wp:effectExtent l="0" t="0" r="0" b="0"/>
            <wp:wrapSquare wrapText="largest"/>
            <wp:docPr id="17"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 descr=""/>
                    <pic:cNvPicPr>
                      <a:picLocks noChangeAspect="1" noChangeArrowheads="1"/>
                    </pic:cNvPicPr>
                  </pic:nvPicPr>
                  <pic:blipFill>
                    <a:blip r:embed="rId6"/>
                    <a:stretch>
                      <a:fillRect/>
                    </a:stretch>
                  </pic:blipFill>
                  <pic:spPr bwMode="auto">
                    <a:xfrm>
                      <a:off x="0" y="0"/>
                      <a:ext cx="2878455" cy="2891790"/>
                    </a:xfrm>
                    <a:prstGeom prst="rect">
                      <a:avLst/>
                    </a:prstGeom>
                  </pic:spPr>
                </pic:pic>
              </a:graphicData>
            </a:graphic>
          </wp:anchor>
        </w:drawing>
        <w:drawing>
          <wp:anchor behindDoc="0" distT="0" distB="0" distL="0" distR="0" simplePos="0" locked="0" layoutInCell="0" allowOverlap="1" relativeHeight="17">
            <wp:simplePos x="0" y="0"/>
            <wp:positionH relativeFrom="column">
              <wp:posOffset>3007360</wp:posOffset>
            </wp:positionH>
            <wp:positionV relativeFrom="paragraph">
              <wp:posOffset>116205</wp:posOffset>
            </wp:positionV>
            <wp:extent cx="2889250" cy="2824480"/>
            <wp:effectExtent l="0" t="0" r="0" b="0"/>
            <wp:wrapSquare wrapText="largest"/>
            <wp:docPr id="18"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8" descr=""/>
                    <pic:cNvPicPr>
                      <a:picLocks noChangeAspect="1" noChangeArrowheads="1"/>
                    </pic:cNvPicPr>
                  </pic:nvPicPr>
                  <pic:blipFill>
                    <a:blip r:embed="rId7"/>
                    <a:stretch>
                      <a:fillRect/>
                    </a:stretch>
                  </pic:blipFill>
                  <pic:spPr bwMode="auto">
                    <a:xfrm>
                      <a:off x="0" y="0"/>
                      <a:ext cx="2889250" cy="2824480"/>
                    </a:xfrm>
                    <a:prstGeom prst="rect">
                      <a:avLst/>
                    </a:prstGeom>
                  </pic:spPr>
                </pic:pic>
              </a:graphicData>
            </a:graphic>
          </wp:anchor>
        </w:drawing>
      </w:r>
      <w:r>
        <w:rPr/>
        <w:t xml:space="preserve">                                                              </w:t>
      </w:r>
    </w:p>
    <w:p>
      <w:pPr>
        <w:pStyle w:val="Normal"/>
        <w:rPr/>
      </w:pPr>
      <w:r>
        <w:rPr/>
      </w:r>
    </w:p>
    <w:p>
      <w:pPr>
        <w:pStyle w:val="Normal"/>
        <w:rPr/>
      </w:pPr>
      <w:r>
        <w:rPr/>
        <w:t xml:space="preserve">                                                                                                 </w:t>
      </w:r>
    </w:p>
    <w:p>
      <w:pPr>
        <w:pStyle w:val="Normal"/>
        <w:rPr/>
      </w:pPr>
      <w:r>
        <w:rPr/>
      </w:r>
    </w:p>
    <w:p>
      <w:pPr>
        <w:pStyle w:val="Normal"/>
        <w:rPr/>
      </w:pPr>
      <w:r>
        <w:rPr/>
      </w:r>
    </w:p>
    <w:p>
      <w:pPr>
        <w:pStyle w:val="Normal"/>
        <w:rPr/>
      </w:pPr>
      <w:r>
        <w:rPr/>
        <w:t xml:space="preserve">                                                                 </w:t>
      </w:r>
      <w:r>
        <w:rPr/>
        <w:tab/>
        <w:tab/>
        <w:tab/>
        <w:tab/>
        <w:tab/>
        <w:tab/>
        <w:tab/>
        <w:tab/>
        <w:tab/>
        <w:tab/>
      </w:r>
      <w:r>
        <w:rPr>
          <w:rFonts w:ascii="Times New Roman" w:hAnsi="Times New Roman"/>
          <w:sz w:val="22"/>
          <w:szCs w:val="22"/>
        </w:rPr>
        <w:tab/>
        <w:tab/>
        <w:t xml:space="preserve">Figure 2  </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(à gauche, l’éclairage de la terre considéré par le GIEC, de toute évidence faux. A droite, la réalité)</w:t>
      </w:r>
    </w:p>
    <w:p>
      <w:pPr>
        <w:pStyle w:val="Normal"/>
        <w:rPr>
          <w:color w:val="C00000"/>
        </w:rPr>
      </w:pPr>
      <w:r>
        <w:rPr>
          <w:color w:val="C00000"/>
        </w:rPr>
      </w:r>
    </w:p>
    <w:p>
      <w:pPr>
        <w:pStyle w:val="Titre2"/>
        <w:pBdr>
          <w:bottom w:val="single" w:sz="6" w:space="0" w:color="A2A9B1"/>
        </w:pBdr>
        <w:shd w:val="clear" w:color="auto" w:fill="FFFFFF"/>
        <w:spacing w:beforeAutospacing="0" w:before="240" w:afterAutospacing="0" w:after="60"/>
        <w:rPr>
          <w:rFonts w:ascii="Georgia" w:hAnsi="Georgia"/>
          <w:b w:val="false"/>
          <w:b w:val="false"/>
          <w:bCs w:val="false"/>
          <w:color w:val="000000"/>
        </w:rPr>
      </w:pPr>
      <w:bookmarkStart w:id="0" w:name="tw-target-text"/>
      <w:bookmarkEnd w:id="0"/>
      <w:r>
        <w:rPr>
          <w:b/>
          <w:bCs/>
          <w:sz w:val="26"/>
          <w:szCs w:val="26"/>
        </w:rPr>
        <w:t xml:space="preserve">Conclusion :                                                                         </w:t>
      </w:r>
      <w:r>
        <w:rPr>
          <w:rFonts w:ascii="Georgia" w:hAnsi="Georgia"/>
          <w:b w:val="false"/>
          <w:bCs w:val="false"/>
          <w:color w:val="000000"/>
          <w:sz w:val="26"/>
          <w:szCs w:val="26"/>
        </w:rPr>
        <w:t xml:space="preserve">                                                                                    </w:t>
      </w:r>
    </w:p>
    <w:p>
      <w:pPr>
        <w:pStyle w:val="Normal"/>
        <w:pBdr>
          <w:bottom w:val="single" w:sz="6" w:space="0" w:color="A2A9B1"/>
        </w:pBdr>
        <w:shd w:val="clear" w:color="auto" w:fill="FFFFFF"/>
        <w:spacing w:beforeAutospacing="0" w:before="240" w:afterAutospacing="0" w:after="60"/>
        <w:jc w:val="both"/>
        <w:rPr>
          <w:b/>
          <w:b/>
          <w:bCs/>
        </w:rPr>
      </w:pPr>
      <w:r>
        <w:rPr>
          <w:rStyle w:val="Mwheadline"/>
          <w:rFonts w:eastAsia="OpenSymbol" w:ascii="Times New Roman" w:hAnsi="Times New Roman"/>
          <w:b w:val="false"/>
          <w:bCs w:val="false"/>
          <w:color w:val="000000"/>
          <w:sz w:val="22"/>
          <w:szCs w:val="22"/>
        </w:rPr>
        <w:tab/>
        <w:t>La remarque « vous auriez raison si la terre ne tournait pas » ne constitue pas une objection valable. A un instant donné, quelconque pendant que la terre tourne, le rayonnement entrant est compensé par le rayonnement sortant. Il suffit de tenir compte du fait que le premier n’entre que par un hémisphère et du fait que le second sort au contraire sur l’ensemble du globe. Le calcul de la moyenne effectué en répartissant l'irradiance de manière égale du côté jour et du côté nuit est un calcul de moyenne qui ne présente aucune utilité pour tirer quelque conclusion que ce soit s</w:t>
      </w:r>
      <w:r>
        <w:rPr>
          <w:rStyle w:val="Mwheadline"/>
          <w:rFonts w:eastAsia="OpenSymbol" w:cs="Lohit Devanagari" w:ascii="Times New Roman" w:hAnsi="Times New Roman"/>
          <w:b w:val="false"/>
          <w:bCs w:val="false"/>
          <w:color w:val="000000"/>
          <w:kern w:val="2"/>
          <w:sz w:val="22"/>
          <w:szCs w:val="22"/>
          <w:lang w:val="fr-FR" w:eastAsia="zh-CN" w:bidi="hi-IN"/>
        </w:rPr>
        <w:t>ur la température au sol</w:t>
      </w:r>
      <w:r>
        <w:rPr>
          <w:rStyle w:val="Mwheadline"/>
          <w:rFonts w:eastAsia="OpenSymbol" w:ascii="Times New Roman" w:hAnsi="Times New Roman"/>
          <w:b w:val="false"/>
          <w:bCs w:val="false"/>
          <w:color w:val="000000"/>
          <w:sz w:val="22"/>
          <w:szCs w:val="22"/>
        </w:rPr>
        <w:t>. De m</w:t>
      </w:r>
      <w:r>
        <w:rPr>
          <w:rStyle w:val="Mwheadline"/>
          <w:rFonts w:eastAsia="OpenSymbol" w:cs="Lohit Devanagari" w:ascii="Times New Roman" w:hAnsi="Times New Roman"/>
          <w:b w:val="false"/>
          <w:bCs w:val="false"/>
          <w:color w:val="000000"/>
          <w:kern w:val="2"/>
          <w:sz w:val="22"/>
          <w:szCs w:val="22"/>
          <w:lang w:val="fr-FR" w:eastAsia="zh-CN" w:bidi="hi-IN"/>
        </w:rPr>
        <w:t>ême, dans la classe, la moyenne trouvée de 6/20, obtenue en attribuant à tort 0 aux élèves absents ne permet pas de tirer des conclusions crédibles sur le niveau des élèves absents.</w:t>
      </w:r>
    </w:p>
    <w:p>
      <w:pPr>
        <w:pStyle w:val="Titre2"/>
        <w:pBdr>
          <w:bottom w:val="single" w:sz="6" w:space="0" w:color="A2A9B1"/>
        </w:pBdr>
        <w:shd w:val="clear" w:color="auto" w:fill="FFFFFF"/>
        <w:spacing w:beforeAutospacing="0" w:before="240" w:afterAutospacing="0" w:after="60"/>
        <w:rPr>
          <w:rFonts w:ascii="Georgia" w:hAnsi="Georgia"/>
          <w:b w:val="false"/>
          <w:b w:val="false"/>
          <w:bCs w:val="false"/>
          <w:color w:val="000000"/>
        </w:rPr>
      </w:pPr>
      <w:r>
        <w:rPr>
          <w:rFonts w:ascii="Georgia" w:hAnsi="Georgia"/>
          <w:b w:val="false"/>
          <w:bCs w:val="false"/>
          <w:color w:val="000000"/>
        </w:rPr>
      </w:r>
    </w:p>
    <w:p>
      <w:pPr>
        <w:pStyle w:val="Titre2"/>
        <w:pBdr>
          <w:bottom w:val="single" w:sz="6" w:space="0" w:color="A2A9B1"/>
        </w:pBdr>
        <w:shd w:val="clear" w:color="auto" w:fill="FFFFFF"/>
        <w:spacing w:beforeAutospacing="0" w:before="240" w:afterAutospacing="0" w:after="60"/>
        <w:rPr>
          <w:rFonts w:ascii="Georgia" w:hAnsi="Georgia"/>
          <w:b w:val="false"/>
          <w:b w:val="false"/>
          <w:bCs w:val="false"/>
          <w:color w:val="000000"/>
        </w:rPr>
      </w:pPr>
      <w:r>
        <w:rPr>
          <w:rFonts w:ascii="Georgia" w:hAnsi="Georgia"/>
          <w:b w:val="false"/>
          <w:bCs w:val="false"/>
          <w:color w:val="000000"/>
        </w:rPr>
      </w:r>
    </w:p>
    <w:p>
      <w:pPr>
        <w:pStyle w:val="Titre2"/>
        <w:pBdr>
          <w:bottom w:val="single" w:sz="6" w:space="0" w:color="A2A9B1"/>
        </w:pBdr>
        <w:shd w:val="clear" w:color="auto" w:fill="FFFFFF"/>
        <w:spacing w:beforeAutospacing="0" w:before="240" w:afterAutospacing="0" w:after="60"/>
        <w:rPr>
          <w:rFonts w:ascii="Georgia" w:hAnsi="Georgia"/>
          <w:b w:val="false"/>
          <w:b w:val="false"/>
          <w:bCs w:val="false"/>
          <w:color w:val="000000"/>
        </w:rPr>
      </w:pPr>
      <w:r>
        <w:rPr>
          <w:rFonts w:ascii="Georgia" w:hAnsi="Georgia"/>
          <w:b w:val="false"/>
          <w:bCs w:val="false"/>
          <w:color w:val="000000"/>
        </w:rPr>
      </w:r>
    </w:p>
    <w:p>
      <w:pPr>
        <w:pStyle w:val="Titre2"/>
        <w:pBdr>
          <w:bottom w:val="single" w:sz="6" w:space="0" w:color="A2A9B1"/>
        </w:pBdr>
        <w:shd w:val="clear" w:color="auto" w:fill="FFFFFF"/>
        <w:spacing w:beforeAutospacing="0" w:before="240" w:afterAutospacing="0" w:after="60"/>
        <w:rPr>
          <w:rFonts w:ascii="Georgia" w:hAnsi="Georgia"/>
          <w:b w:val="false"/>
          <w:b w:val="false"/>
          <w:bCs w:val="false"/>
          <w:color w:val="000000"/>
        </w:rPr>
      </w:pPr>
      <w:r>
        <w:rPr>
          <w:rFonts w:ascii="Georgia" w:hAnsi="Georgia"/>
          <w:b w:val="false"/>
          <w:bCs w:val="false"/>
          <w:color w:val="000000"/>
        </w:rPr>
      </w:r>
    </w:p>
    <w:p>
      <w:pPr>
        <w:pStyle w:val="Normal"/>
        <w:jc w:val="both"/>
        <w:rPr>
          <w:b/>
          <w:b/>
          <w:bCs/>
        </w:rPr>
      </w:pPr>
      <w:r>
        <w:rPr>
          <w:b/>
          <w:bCs/>
        </w:rPr>
        <w:t xml:space="preserve">2-2  L’erreur </w:t>
      </w:r>
      <w:r>
        <w:rPr>
          <w:b/>
          <w:bCs/>
          <w:color w:val="000000"/>
        </w:rPr>
        <w:t xml:space="preserve">signalée par </w:t>
      </w:r>
      <w:r>
        <w:rPr>
          <w:b/>
          <w:bCs/>
        </w:rPr>
        <w:t>Gerlich</w:t>
      </w:r>
    </w:p>
    <w:p>
      <w:pPr>
        <w:pStyle w:val="Normal"/>
        <w:jc w:val="both"/>
        <w:rPr>
          <w:b/>
          <w:b/>
          <w:bCs/>
        </w:rPr>
      </w:pPr>
      <w:r>
        <w:rPr>
          <w:b/>
          <w:bCs/>
        </w:rPr>
      </w:r>
    </w:p>
    <w:p>
      <w:pPr>
        <w:pStyle w:val="Titre1"/>
        <w:shd w:val="clear" w:color="auto" w:fill="FFFFFF"/>
        <w:spacing w:before="0" w:after="0"/>
        <w:rPr>
          <w:rFonts w:ascii="Times New Roman" w:hAnsi="Times New Roman" w:cs="Times New Roman"/>
          <w:color w:val="C00000"/>
          <w:sz w:val="22"/>
          <w:szCs w:val="22"/>
        </w:rPr>
      </w:pPr>
      <w:r>
        <w:rPr>
          <w:rFonts w:cs="Times New Roman" w:ascii="Times New Roman" w:hAnsi="Times New Roman"/>
          <w:color w:val="C00000"/>
          <w:sz w:val="22"/>
          <w:szCs w:val="22"/>
        </w:rPr>
        <w:tab/>
      </w:r>
      <w:r>
        <w:rPr>
          <w:rFonts w:cs="Times New Roman" w:ascii="Times New Roman" w:hAnsi="Times New Roman"/>
          <w:color w:val="000000"/>
          <w:sz w:val="22"/>
          <w:szCs w:val="22"/>
        </w:rPr>
        <w:t>Nous l’appellons ainsi parce que</w:t>
      </w:r>
      <w:r>
        <w:rPr>
          <w:rFonts w:cs="Times New Roman" w:ascii="Times New Roman" w:hAnsi="Times New Roman"/>
          <w:b/>
          <w:bCs/>
          <w:color w:val="000000"/>
          <w:sz w:val="22"/>
          <w:szCs w:val="22"/>
        </w:rPr>
        <w:t xml:space="preserve"> </w:t>
      </w:r>
      <w:r>
        <w:rPr>
          <w:rFonts w:cs="Times New Roman" w:ascii="Times New Roman" w:hAnsi="Times New Roman"/>
          <w:color w:val="000000"/>
          <w:sz w:val="22"/>
          <w:szCs w:val="22"/>
        </w:rPr>
        <w:t xml:space="preserve">Gerlich nous semble avoir été le premier à la dénoncer dans une publication (Falsification Of The Atmospheric CO2 Greenhouse Effects Within The Frame Of Physics </w:t>
      </w:r>
      <w:hyperlink r:id="rId8">
        <w:r>
          <w:rPr>
            <w:rStyle w:val="LienInternet"/>
            <w:rFonts w:cs="Times New Roman" w:ascii="Times New Roman" w:hAnsi="Times New Roman"/>
            <w:color w:val="000000"/>
            <w:sz w:val="22"/>
            <w:szCs w:val="22"/>
          </w:rPr>
          <w:t>https://arxiv.org/abs/0707.1161</w:t>
        </w:r>
      </w:hyperlink>
      <w:r>
        <w:rPr>
          <w:rFonts w:cs="Times New Roman" w:ascii="Times New Roman" w:hAnsi="Times New Roman"/>
          <w:color w:val="000000"/>
          <w:sz w:val="22"/>
          <w:szCs w:val="22"/>
        </w:rPr>
        <w:t xml:space="preserve"> et </w:t>
      </w:r>
      <w:r>
        <w:rPr>
          <w:rStyle w:val="Accentuation"/>
          <w:rFonts w:cs="Times New Roman" w:ascii="Times New Roman" w:hAnsi="Times New Roman"/>
          <w:color w:val="000000"/>
          <w:sz w:val="22"/>
          <w:szCs w:val="22"/>
          <w:shd w:fill="FFFFFF" w:val="clear"/>
        </w:rPr>
        <w:t>International Journal of Modern Physics B</w:t>
      </w:r>
      <w:r>
        <w:rPr>
          <w:rFonts w:cs="Times New Roman" w:ascii="Times New Roman" w:hAnsi="Times New Roman"/>
          <w:color w:val="000000"/>
          <w:sz w:val="22"/>
          <w:szCs w:val="22"/>
        </w:rPr>
        <w:t xml:space="preserve"> )</w:t>
      </w:r>
    </w:p>
    <w:p>
      <w:pPr>
        <w:pStyle w:val="Normal"/>
        <w:shd w:val="clear" w:color="auto" w:fill="FFFFFF"/>
        <w:spacing w:before="0" w:after="0"/>
        <w:rPr>
          <w:rFonts w:ascii="Times New Roman" w:hAnsi="Times New Roman" w:cs="Times New Roman"/>
          <w:color w:val="C00000"/>
          <w:sz w:val="22"/>
          <w:szCs w:val="22"/>
        </w:rPr>
      </w:pPr>
      <w:r>
        <w:rPr>
          <w:rFonts w:cs="Times New Roman" w:ascii="Times New Roman" w:hAnsi="Times New Roman"/>
          <w:color w:val="C00000"/>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Sa cause profonde est analogue à celle produisant l’erreur de l’enseignant, mais plus spécifiquement due à la présence du terme T à la puissance 4 dans l’application qui devient alors erronée de la loi de Stefan-Boltzmann,  </w:t>
      </w:r>
      <w:r>
        <w:rPr/>
      </w:r>
      <m:oMath xmlns:m="http://schemas.openxmlformats.org/officeDocument/2006/math">
        <m:r>
          <w:rPr>
            <w:rFonts w:ascii="Cambria Math" w:hAnsi="Cambria Math"/>
          </w:rPr>
          <m:t xml:space="preserve">P</m:t>
        </m:r>
        <m:r>
          <w:rPr>
            <w:rFonts w:ascii="Cambria Math" w:hAnsi="Cambria Math"/>
          </w:rPr>
          <m:t xml:space="preserve">=</m:t>
        </m:r>
        <m:r>
          <w:rPr>
            <w:rFonts w:ascii="Cambria Math" w:hAnsi="Cambria Math"/>
          </w:rPr>
          <m:t xml:space="preserve">σ</m:t>
        </m:r>
        <m:sSup>
          <m:e>
            <m:r>
              <w:rPr>
                <w:rFonts w:ascii="Cambria Math" w:hAnsi="Cambria Math"/>
              </w:rPr>
              <m:t xml:space="preserve">T</m:t>
            </m:r>
          </m:e>
          <m:sup>
            <m:r>
              <w:rPr>
                <w:rFonts w:ascii="Cambria Math" w:hAnsi="Cambria Math"/>
              </w:rPr>
              <m:t xml:space="preserve">4</m:t>
            </m:r>
          </m:sup>
        </m:sSup>
      </m:oMath>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br/>
        <w:tab/>
        <w:t xml:space="preserve">La nature de cette seconde erreur tient en effet au fait que poursuivre comme but de trouver la moyenne des températures qui règne sur la terre, nécessite de recueillir les valeurs de T et d’en faire la moyenne.   </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ab/>
        <w:t>Au lieu de cela, les calculs se font en recueillant les valeurs de P, en faisant la moyenne de ces valeurs pour obtenir dans un premier temps une puissance moyenne et en croyant pouvoir en déduire une température moyenne en appliquant la loi de Stefan-Boltzmann à cette puissance moyenne. Ces deux méthodes ne donnent pas du tout le même résultat, et, bien évidemment, la méthode correcte si le but est de calculer la température moyenne est la première.</w:t>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color w:val="C00000"/>
          <w:sz w:val="22"/>
          <w:szCs w:val="22"/>
        </w:rPr>
        <w:tab/>
      </w:r>
      <w:r>
        <w:rPr>
          <w:rFonts w:ascii="Times New Roman" w:hAnsi="Times New Roman"/>
          <w:color w:val="000000"/>
          <w:sz w:val="22"/>
          <w:szCs w:val="22"/>
        </w:rPr>
        <w:t>Gerlich a souligné cette erreur dans son article précité, p.63 :</w:t>
      </w:r>
    </w:p>
    <w:p>
      <w:pPr>
        <w:pStyle w:val="Normal"/>
        <w:rPr/>
      </w:pPr>
      <w:r>
        <w:rPr/>
      </w:r>
    </w:p>
    <w:p>
      <w:pPr>
        <w:pStyle w:val="Normal"/>
        <w:rPr>
          <w:color w:val="C00000"/>
        </w:rPr>
      </w:pPr>
      <w:r>
        <w:rPr>
          <w:color w:val="C00000"/>
        </w:rPr>
        <w:drawing>
          <wp:anchor behindDoc="0" distT="0" distB="0" distL="0" distR="0" simplePos="0" locked="0" layoutInCell="0" allowOverlap="1" relativeHeight="23">
            <wp:simplePos x="0" y="0"/>
            <wp:positionH relativeFrom="column">
              <wp:posOffset>0</wp:posOffset>
            </wp:positionH>
            <wp:positionV relativeFrom="paragraph">
              <wp:posOffset>172085</wp:posOffset>
            </wp:positionV>
            <wp:extent cx="6120130" cy="748665"/>
            <wp:effectExtent l="0" t="0" r="0" b="0"/>
            <wp:wrapSquare wrapText="largest"/>
            <wp:docPr id="19"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 descr=""/>
                    <pic:cNvPicPr>
                      <a:picLocks noChangeAspect="1" noChangeArrowheads="1"/>
                    </pic:cNvPicPr>
                  </pic:nvPicPr>
                  <pic:blipFill>
                    <a:blip r:embed="rId9"/>
                    <a:stretch>
                      <a:fillRect/>
                    </a:stretch>
                  </pic:blipFill>
                  <pic:spPr bwMode="auto">
                    <a:xfrm>
                      <a:off x="0" y="0"/>
                      <a:ext cx="6120130" cy="748665"/>
                    </a:xfrm>
                    <a:prstGeom prst="rect">
                      <a:avLst/>
                    </a:prstGeom>
                    <a:ln w="635">
                      <a:solidFill>
                        <a:srgbClr val="000000"/>
                      </a:solidFill>
                    </a:ln>
                  </pic:spPr>
                </pic:pic>
              </a:graphicData>
            </a:graphic>
          </wp:anchor>
        </w:drawing>
      </w:r>
    </w:p>
    <w:p>
      <w:pPr>
        <w:pStyle w:val="Normal"/>
        <w:rPr>
          <w:color w:val="C00000"/>
        </w:rPr>
      </w:pPr>
      <w:r>
        <w:rPr>
          <w:color w:val="C00000"/>
        </w:rPr>
      </w:r>
    </w:p>
    <w:p>
      <w:pPr>
        <w:pStyle w:val="Normal"/>
        <w:rPr>
          <w:rFonts w:ascii="Times New Roman" w:hAnsi="Times New Roman"/>
          <w:sz w:val="22"/>
          <w:szCs w:val="22"/>
        </w:rPr>
      </w:pPr>
      <w:r>
        <w:rPr/>
        <w:br/>
        <w:tab/>
      </w:r>
    </w:p>
    <w:p>
      <w:pPr>
        <w:pStyle w:val="Normal"/>
        <w:jc w:val="both"/>
        <w:rPr>
          <w:rFonts w:ascii="Times New Roman" w:hAnsi="Times New Roman"/>
          <w:sz w:val="22"/>
          <w:szCs w:val="22"/>
        </w:rPr>
      </w:pPr>
      <w:r>
        <w:rPr>
          <w:rFonts w:ascii="Times New Roman" w:hAnsi="Times New Roman"/>
          <w:sz w:val="22"/>
          <w:szCs w:val="22"/>
        </w:rPr>
        <w:tab/>
        <w:t>Voici deux exemples numériques montrant l’erreur qui est faite, cette erreur prenant d’autant plus d’importance que les valeurs recueillies sont plus écartées les unes des autres.</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 xml:space="preserve">Exemple 1 : T est calculé à partir de P en appliquant la loi de Stefan-Boltzmann     </w:t>
      </w:r>
      <w:r>
        <w:rPr/>
        <w:t xml:space="preserve">    </w:t>
      </w:r>
    </w:p>
    <w:p>
      <w:pPr>
        <w:pStyle w:val="Normal"/>
        <w:rPr/>
      </w:pPr>
      <w:r>
        <w:rPr/>
        <w:t xml:space="preserve">            </w:t>
      </w:r>
    </w:p>
    <w:tbl>
      <w:tblPr>
        <w:tblW w:w="9690" w:type="dxa"/>
        <w:jc w:val="left"/>
        <w:tblInd w:w="-44" w:type="dxa"/>
        <w:tblLayout w:type="fixed"/>
        <w:tblCellMar>
          <w:top w:w="55" w:type="dxa"/>
          <w:left w:w="55" w:type="dxa"/>
          <w:bottom w:w="55" w:type="dxa"/>
          <w:right w:w="55" w:type="dxa"/>
        </w:tblCellMar>
        <w:tblLook w:val="04a0" w:noHBand="0" w:noVBand="1" w:firstColumn="1" w:lastRow="0" w:lastColumn="0" w:firstRow="1"/>
      </w:tblPr>
      <w:tblGrid>
        <w:gridCol w:w="1650"/>
        <w:gridCol w:w="1600"/>
        <w:gridCol w:w="1609"/>
        <w:gridCol w:w="1611"/>
        <w:gridCol w:w="1599"/>
        <w:gridCol w:w="1620"/>
      </w:tblGrid>
      <w:tr>
        <w:trPr/>
        <w:tc>
          <w:tcPr>
            <w:tcW w:w="1650"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 xml:space="preserve"> </w:t>
            </w:r>
            <w:r>
              <w:rPr/>
              <w:t xml:space="preserve">Valeurs de P           </w:t>
            </w:r>
          </w:p>
        </w:tc>
        <w:tc>
          <w:tcPr>
            <w:tcW w:w="1600"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100</w:t>
            </w:r>
          </w:p>
        </w:tc>
        <w:tc>
          <w:tcPr>
            <w:tcW w:w="1609"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200</w:t>
            </w:r>
          </w:p>
        </w:tc>
        <w:tc>
          <w:tcPr>
            <w:tcW w:w="1611"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300</w:t>
            </w:r>
          </w:p>
        </w:tc>
        <w:tc>
          <w:tcPr>
            <w:tcW w:w="1599"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400</w:t>
            </w:r>
          </w:p>
        </w:tc>
        <w:tc>
          <w:tcPr>
            <w:tcW w:w="1620" w:type="dxa"/>
            <w:tcBorders>
              <w:top w:val="single" w:sz="4" w:space="0" w:color="000000"/>
              <w:left w:val="single" w:sz="4" w:space="0" w:color="000000"/>
              <w:bottom w:val="single" w:sz="4" w:space="0" w:color="000000"/>
              <w:right w:val="single" w:sz="4" w:space="0" w:color="000000"/>
            </w:tcBorders>
            <w:vAlign w:val="center"/>
          </w:tcPr>
          <w:p>
            <w:pPr>
              <w:pStyle w:val="Contenudetableau"/>
              <w:widowControl w:val="false"/>
              <w:jc w:val="center"/>
              <w:rPr/>
            </w:pPr>
            <w:r>
              <w:rPr/>
              <w:t>500</w:t>
            </w:r>
          </w:p>
        </w:tc>
      </w:tr>
      <w:tr>
        <w:trPr/>
        <w:tc>
          <w:tcPr>
            <w:tcW w:w="1650" w:type="dxa"/>
            <w:tcBorders>
              <w:left w:val="single" w:sz="4" w:space="0" w:color="000000"/>
              <w:bottom w:val="single" w:sz="4" w:space="0" w:color="000000"/>
            </w:tcBorders>
          </w:tcPr>
          <w:p>
            <w:pPr>
              <w:pStyle w:val="Contenudetableau"/>
              <w:widowControl w:val="false"/>
              <w:jc w:val="center"/>
              <w:rPr/>
            </w:pPr>
            <w:r>
              <w:rPr/>
              <w:t xml:space="preserve"> </w:t>
            </w:r>
            <w:r>
              <w:rPr/>
              <w:t>Valeurs de T</w:t>
            </w:r>
          </w:p>
        </w:tc>
        <w:tc>
          <w:tcPr>
            <w:tcW w:w="1600" w:type="dxa"/>
            <w:tcBorders>
              <w:left w:val="single" w:sz="4" w:space="0" w:color="000000"/>
              <w:bottom w:val="single" w:sz="4" w:space="0" w:color="000000"/>
            </w:tcBorders>
          </w:tcPr>
          <w:p>
            <w:pPr>
              <w:pStyle w:val="Contenudetableau"/>
              <w:widowControl w:val="false"/>
              <w:jc w:val="center"/>
              <w:rPr/>
            </w:pPr>
            <w:r>
              <w:rPr/>
              <w:t xml:space="preserve">  </w:t>
            </w:r>
            <w:r>
              <w:rPr/>
              <w:t>204,9</w:t>
            </w:r>
          </w:p>
        </w:tc>
        <w:tc>
          <w:tcPr>
            <w:tcW w:w="1609" w:type="dxa"/>
            <w:tcBorders>
              <w:left w:val="single" w:sz="4" w:space="0" w:color="000000"/>
              <w:bottom w:val="single" w:sz="4" w:space="0" w:color="000000"/>
            </w:tcBorders>
          </w:tcPr>
          <w:p>
            <w:pPr>
              <w:pStyle w:val="Contenudetableau"/>
              <w:widowControl w:val="false"/>
              <w:jc w:val="center"/>
              <w:rPr/>
            </w:pPr>
            <w:r>
              <w:rPr/>
              <w:t xml:space="preserve">243,7         </w:t>
            </w:r>
          </w:p>
        </w:tc>
        <w:tc>
          <w:tcPr>
            <w:tcW w:w="1611" w:type="dxa"/>
            <w:tcBorders>
              <w:left w:val="single" w:sz="4" w:space="0" w:color="000000"/>
              <w:bottom w:val="single" w:sz="4" w:space="0" w:color="000000"/>
            </w:tcBorders>
          </w:tcPr>
          <w:p>
            <w:pPr>
              <w:pStyle w:val="Contenudetableau"/>
              <w:widowControl w:val="false"/>
              <w:jc w:val="center"/>
              <w:rPr/>
            </w:pPr>
            <w:r>
              <w:rPr/>
              <w:t xml:space="preserve"> </w:t>
            </w:r>
            <w:r>
              <w:rPr/>
              <w:t>269,7</w:t>
            </w:r>
          </w:p>
        </w:tc>
        <w:tc>
          <w:tcPr>
            <w:tcW w:w="1599" w:type="dxa"/>
            <w:tcBorders>
              <w:left w:val="single" w:sz="4" w:space="0" w:color="000000"/>
              <w:bottom w:val="single" w:sz="4" w:space="0" w:color="000000"/>
            </w:tcBorders>
          </w:tcPr>
          <w:p>
            <w:pPr>
              <w:pStyle w:val="Contenudetableau"/>
              <w:widowControl w:val="false"/>
              <w:jc w:val="center"/>
              <w:rPr/>
            </w:pPr>
            <w:r>
              <w:rPr/>
              <w:t>289,8</w:t>
            </w:r>
          </w:p>
        </w:tc>
        <w:tc>
          <w:tcPr>
            <w:tcW w:w="1620" w:type="dxa"/>
            <w:tcBorders>
              <w:left w:val="single" w:sz="4" w:space="0" w:color="000000"/>
              <w:bottom w:val="single" w:sz="4" w:space="0" w:color="000000"/>
              <w:right w:val="single" w:sz="4" w:space="0" w:color="000000"/>
            </w:tcBorders>
          </w:tcPr>
          <w:p>
            <w:pPr>
              <w:pStyle w:val="Contenudetableau"/>
              <w:widowControl w:val="false"/>
              <w:jc w:val="center"/>
              <w:rPr/>
            </w:pPr>
            <w:r>
              <w:rPr/>
              <w:t>306,4</w:t>
            </w:r>
          </w:p>
        </w:tc>
      </w:tr>
    </w:tbl>
    <w:p>
      <w:pPr>
        <w:pStyle w:val="Normal"/>
        <w:jc w:val="both"/>
        <w:rPr>
          <w:rFonts w:ascii="Times New Roman" w:hAnsi="Times New Roman"/>
          <w:sz w:val="22"/>
          <w:szCs w:val="22"/>
        </w:rPr>
      </w:pPr>
      <w:r>
        <w:rPr>
          <w:rFonts w:ascii="Times New Roman" w:hAnsi="Times New Roman"/>
          <w:sz w:val="22"/>
          <w:szCs w:val="22"/>
        </w:rPr>
        <w:br/>
        <w:tab/>
        <w:t>La moyenne des irradiances P est (100+200+300+400+500) / 5 = 1500/5 = 300</w:t>
      </w:r>
    </w:p>
    <w:p>
      <w:pPr>
        <w:pStyle w:val="Normal"/>
        <w:jc w:val="both"/>
        <w:rPr>
          <w:rFonts w:ascii="Times New Roman" w:hAnsi="Times New Roman"/>
          <w:sz w:val="22"/>
          <w:szCs w:val="22"/>
        </w:rPr>
      </w:pPr>
      <w:r>
        <w:rPr>
          <w:rFonts w:ascii="Times New Roman" w:hAnsi="Times New Roman"/>
          <w:sz w:val="22"/>
          <w:szCs w:val="22"/>
        </w:rPr>
        <w:t>La valeur soi-disant moyenne des T qui est calculée à partir de cette moyenne donne T1 = 269,7 . C’est la racine quatrième de la moyenne des irradiances.</w:t>
      </w:r>
    </w:p>
    <w:p>
      <w:pPr>
        <w:pStyle w:val="Normal"/>
        <w:jc w:val="both"/>
        <w:rPr>
          <w:rFonts w:ascii="Times New Roman" w:hAnsi="Times New Roman"/>
          <w:sz w:val="22"/>
          <w:szCs w:val="22"/>
        </w:rPr>
      </w:pPr>
      <w:r>
        <w:rPr>
          <w:rFonts w:ascii="Times New Roman" w:hAnsi="Times New Roman"/>
          <w:sz w:val="22"/>
          <w:szCs w:val="22"/>
        </w:rPr>
        <w:t xml:space="preserve">Or, la valeur réelle de la température moyenne est la moyenne des températures réelles, qui donne </w:t>
        <w:br/>
        <w:t>T2 = (204,9+243,7+269,7+289,8+306,4)/5 = 262,9.</w:t>
      </w:r>
    </w:p>
    <w:p>
      <w:pPr>
        <w:pStyle w:val="Normal"/>
        <w:jc w:val="both"/>
        <w:rPr>
          <w:rFonts w:ascii="Times New Roman" w:hAnsi="Times New Roman"/>
          <w:sz w:val="22"/>
          <w:szCs w:val="22"/>
        </w:rPr>
      </w:pPr>
      <w:r>
        <w:rPr>
          <w:rFonts w:ascii="Times New Roman" w:hAnsi="Times New Roman"/>
          <w:sz w:val="22"/>
          <w:szCs w:val="22"/>
        </w:rPr>
        <w:t>C’est la moyenne des racines quatrième des irradiances.</w:t>
      </w:r>
    </w:p>
    <w:p>
      <w:pPr>
        <w:pStyle w:val="Normal"/>
        <w:jc w:val="both"/>
        <w:rPr>
          <w:rFonts w:ascii="Times New Roman" w:hAnsi="Times New Roman"/>
          <w:sz w:val="22"/>
          <w:szCs w:val="22"/>
        </w:rPr>
      </w:pPr>
      <w:r>
        <w:rPr>
          <w:rFonts w:ascii="Times New Roman" w:hAnsi="Times New Roman"/>
          <w:sz w:val="22"/>
          <w:szCs w:val="22"/>
        </w:rPr>
        <w:t>L’erreur faite dans cet exemple est de 6,8°C . Elle est loin d’être négligeable.</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r>
    </w:p>
    <w:p>
      <w:pPr>
        <w:pStyle w:val="Normal"/>
        <w:jc w:val="both"/>
        <w:rPr>
          <w:rFonts w:ascii="Times New Roman" w:hAnsi="Times New Roman"/>
          <w:sz w:val="22"/>
          <w:szCs w:val="22"/>
        </w:rPr>
      </w:pPr>
      <w:r>
        <w:rPr>
          <w:rFonts w:ascii="Times New Roman" w:hAnsi="Times New Roman"/>
          <w:sz w:val="22"/>
          <w:szCs w:val="22"/>
        </w:rPr>
        <w:t>Exemple 2 : T est toujours calculé à partir de P en appliquant la loi de Stefan-Boltzmann</w:t>
      </w:r>
    </w:p>
    <w:p>
      <w:pPr>
        <w:pStyle w:val="Normal"/>
        <w:rPr/>
      </w:pPr>
      <w:r>
        <w:rPr/>
        <w:t xml:space="preserve">              </w:t>
      </w:r>
    </w:p>
    <w:tbl>
      <w:tblPr>
        <w:tblW w:w="5504" w:type="dxa"/>
        <w:jc w:val="left"/>
        <w:tblInd w:w="2161" w:type="dxa"/>
        <w:tblLayout w:type="fixed"/>
        <w:tblCellMar>
          <w:top w:w="55" w:type="dxa"/>
          <w:left w:w="55" w:type="dxa"/>
          <w:bottom w:w="55" w:type="dxa"/>
          <w:right w:w="55" w:type="dxa"/>
        </w:tblCellMar>
        <w:tblLook w:val="04a0" w:noHBand="0" w:noVBand="1" w:firstColumn="1" w:lastRow="0" w:lastColumn="0" w:firstRow="1"/>
      </w:tblPr>
      <w:tblGrid>
        <w:gridCol w:w="3311"/>
        <w:gridCol w:w="599"/>
        <w:gridCol w:w="1594"/>
      </w:tblGrid>
      <w:tr>
        <w:trPr>
          <w:trHeight w:val="400" w:hRule="atLeast"/>
        </w:trPr>
        <w:tc>
          <w:tcPr>
            <w:tcW w:w="3311"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 xml:space="preserve"> </w:t>
            </w:r>
            <w:r>
              <w:rPr/>
              <w:t xml:space="preserve">Valeurs de P </w:t>
            </w:r>
          </w:p>
        </w:tc>
        <w:tc>
          <w:tcPr>
            <w:tcW w:w="599" w:type="dxa"/>
            <w:tcBorders>
              <w:top w:val="single" w:sz="4" w:space="0" w:color="000000"/>
              <w:left w:val="single" w:sz="4" w:space="0" w:color="000000"/>
              <w:bottom w:val="single" w:sz="4" w:space="0" w:color="000000"/>
            </w:tcBorders>
            <w:vAlign w:val="center"/>
          </w:tcPr>
          <w:p>
            <w:pPr>
              <w:pStyle w:val="Contenudetableau"/>
              <w:widowControl w:val="false"/>
              <w:jc w:val="center"/>
              <w:rPr/>
            </w:pPr>
            <w:r>
              <w:rPr/>
              <w:t>0</w:t>
            </w:r>
          </w:p>
        </w:tc>
        <w:tc>
          <w:tcPr>
            <w:tcW w:w="1594" w:type="dxa"/>
            <w:tcBorders>
              <w:top w:val="single" w:sz="4" w:space="0" w:color="000000"/>
              <w:left w:val="single" w:sz="4" w:space="0" w:color="000000"/>
              <w:bottom w:val="single" w:sz="4" w:space="0" w:color="000000"/>
              <w:right w:val="single" w:sz="4" w:space="0" w:color="000000"/>
            </w:tcBorders>
            <w:vAlign w:val="center"/>
          </w:tcPr>
          <w:p>
            <w:pPr>
              <w:pStyle w:val="Contenudetableau"/>
              <w:widowControl w:val="false"/>
              <w:jc w:val="center"/>
              <w:rPr/>
            </w:pPr>
            <w:r>
              <w:rPr/>
              <w:t>480</w:t>
            </w:r>
          </w:p>
        </w:tc>
      </w:tr>
      <w:tr>
        <w:trPr/>
        <w:tc>
          <w:tcPr>
            <w:tcW w:w="3311" w:type="dxa"/>
            <w:tcBorders>
              <w:left w:val="single" w:sz="4" w:space="0" w:color="000000"/>
              <w:bottom w:val="single" w:sz="4" w:space="0" w:color="000000"/>
            </w:tcBorders>
          </w:tcPr>
          <w:p>
            <w:pPr>
              <w:pStyle w:val="Contenudetableau"/>
              <w:widowControl w:val="false"/>
              <w:jc w:val="center"/>
              <w:rPr/>
            </w:pPr>
            <w:r>
              <w:rPr/>
              <w:t xml:space="preserve"> </w:t>
            </w:r>
            <w:r>
              <w:rPr/>
              <w:t>Valeurs de T</w:t>
            </w:r>
          </w:p>
        </w:tc>
        <w:tc>
          <w:tcPr>
            <w:tcW w:w="599" w:type="dxa"/>
            <w:tcBorders>
              <w:left w:val="single" w:sz="4" w:space="0" w:color="000000"/>
              <w:bottom w:val="single" w:sz="4" w:space="0" w:color="000000"/>
            </w:tcBorders>
          </w:tcPr>
          <w:p>
            <w:pPr>
              <w:pStyle w:val="Contenudetableau"/>
              <w:widowControl w:val="false"/>
              <w:jc w:val="center"/>
              <w:rPr/>
            </w:pPr>
            <w:r>
              <w:rPr/>
              <w:t>0</w:t>
            </w:r>
          </w:p>
        </w:tc>
        <w:tc>
          <w:tcPr>
            <w:tcW w:w="1594" w:type="dxa"/>
            <w:tcBorders>
              <w:left w:val="single" w:sz="4" w:space="0" w:color="000000"/>
              <w:bottom w:val="single" w:sz="4" w:space="0" w:color="000000"/>
              <w:right w:val="single" w:sz="4" w:space="0" w:color="000000"/>
            </w:tcBorders>
          </w:tcPr>
          <w:p>
            <w:pPr>
              <w:pStyle w:val="Contenudetableau"/>
              <w:widowControl w:val="false"/>
              <w:jc w:val="center"/>
              <w:rPr/>
            </w:pPr>
            <w:r>
              <w:rPr/>
              <w:t>303,3</w:t>
            </w:r>
          </w:p>
        </w:tc>
      </w:tr>
    </w:tbl>
    <w:p>
      <w:pPr>
        <w:pStyle w:val="Normal"/>
        <w:rPr/>
      </w:pPr>
      <w:r>
        <w:rPr/>
        <w:t xml:space="preserve">     </w:t>
      </w:r>
    </w:p>
    <w:p>
      <w:pPr>
        <w:pStyle w:val="Normal"/>
        <w:rPr>
          <w:rFonts w:ascii="Times New Roman" w:hAnsi="Times New Roman"/>
          <w:sz w:val="22"/>
          <w:szCs w:val="22"/>
        </w:rPr>
      </w:pPr>
      <w:r>
        <w:rPr>
          <w:rFonts w:ascii="Times New Roman" w:hAnsi="Times New Roman"/>
          <w:sz w:val="22"/>
          <w:szCs w:val="22"/>
        </w:rPr>
        <w:tab/>
        <w:t>La moyenne des irradiances P est ici de 480/2 = 240.</w:t>
      </w:r>
    </w:p>
    <w:p>
      <w:pPr>
        <w:pStyle w:val="Normal"/>
        <w:jc w:val="both"/>
        <w:rPr>
          <w:rFonts w:ascii="Times New Roman" w:hAnsi="Times New Roman"/>
          <w:sz w:val="22"/>
          <w:szCs w:val="22"/>
        </w:rPr>
      </w:pPr>
      <w:r>
        <w:rPr>
          <w:rFonts w:ascii="Times New Roman" w:hAnsi="Times New Roman"/>
          <w:sz w:val="22"/>
          <w:szCs w:val="22"/>
        </w:rPr>
        <w:tab/>
        <w:t>La valeur soi-disant moyenne des T qui est calculée à partir de cette moyenne est la valeur  T1 = 255 . C’est la racine quatrième de la moyenne des irradiances.</w:t>
      </w:r>
    </w:p>
    <w:p>
      <w:pPr>
        <w:pStyle w:val="Normal"/>
        <w:jc w:val="both"/>
        <w:rPr>
          <w:rFonts w:ascii="Times New Roman" w:hAnsi="Times New Roman"/>
          <w:sz w:val="22"/>
          <w:szCs w:val="22"/>
        </w:rPr>
      </w:pPr>
      <w:r>
        <w:rPr>
          <w:rFonts w:ascii="Times New Roman" w:hAnsi="Times New Roman"/>
          <w:sz w:val="22"/>
          <w:szCs w:val="22"/>
        </w:rPr>
        <w:tab/>
        <w:t>Or, la valeur réelle de la température moyenne est la moyenne des températures réelles, qui donne T2 = (303,3)/2 = 151,65.</w:t>
      </w:r>
    </w:p>
    <w:p>
      <w:pPr>
        <w:pStyle w:val="Normal"/>
        <w:rPr>
          <w:rFonts w:ascii="Times New Roman" w:hAnsi="Times New Roman"/>
          <w:sz w:val="22"/>
          <w:szCs w:val="22"/>
        </w:rPr>
      </w:pPr>
      <w:r>
        <w:rPr>
          <w:rFonts w:ascii="Times New Roman" w:hAnsi="Times New Roman"/>
          <w:sz w:val="22"/>
          <w:szCs w:val="22"/>
        </w:rPr>
        <w:tab/>
        <w:t xml:space="preserve">C’est la moyenne des racines quatrième des irradiances. </w:t>
      </w:r>
    </w:p>
    <w:p>
      <w:pPr>
        <w:pStyle w:val="Normal"/>
        <w:rPr>
          <w:rFonts w:ascii="Times New Roman" w:hAnsi="Times New Roman"/>
          <w:sz w:val="22"/>
          <w:szCs w:val="22"/>
        </w:rPr>
      </w:pPr>
      <w:r>
        <w:rPr>
          <w:rFonts w:ascii="Times New Roman" w:hAnsi="Times New Roman"/>
          <w:sz w:val="22"/>
          <w:szCs w:val="22"/>
        </w:rPr>
        <w:tab/>
        <w:t>L’erreur faite dans cet exemple est de 88,35°C. Elle est considérable.</w:t>
      </w:r>
    </w:p>
    <w:p>
      <w:pPr>
        <w:pStyle w:val="Normal"/>
        <w:rPr>
          <w:rFonts w:ascii="Times New Roman" w:hAnsi="Times New Roman"/>
          <w:sz w:val="22"/>
          <w:szCs w:val="22"/>
        </w:rPr>
      </w:pPr>
      <w:r>
        <w:rPr>
          <w:rFonts w:ascii="Times New Roman" w:hAnsi="Times New Roman"/>
          <w:sz w:val="22"/>
          <w:szCs w:val="22"/>
        </w:rPr>
      </w:r>
    </w:p>
    <w:p>
      <w:pPr>
        <w:pStyle w:val="Normal"/>
        <w:rPr/>
      </w:pPr>
      <w:r>
        <w:rPr>
          <w:rFonts w:ascii="Times New Roman" w:hAnsi="Times New Roman"/>
          <w:sz w:val="22"/>
          <w:szCs w:val="22"/>
        </w:rPr>
        <w:t xml:space="preserve">            </w:t>
      </w:r>
      <w:r>
        <w:rPr>
          <w:rFonts w:ascii="Times New Roman" w:hAnsi="Times New Roman"/>
          <w:sz w:val="22"/>
          <w:szCs w:val="22"/>
        </w:rPr>
        <w:t>En voulant la rectifier, les scientifiques égalent les deux valeurs de P en prenant 240 et 240, dont la moyenne est 240. Ils obtiennent alors une soi-disant valeur moyenne de la température T égale à 255 K= -18°C. Ceci est encore plus faux, ainsi que le montre l’exemple des notes rendues artificiellement homogènes par un enseignant qui ne parvient pas à se rendre compte qu’il exécute des calculs de plus en plus absurdes.</w:t>
      </w:r>
      <w:r>
        <w:rPr/>
        <w:t xml:space="preserve">    </w:t>
      </w:r>
    </w:p>
    <w:p>
      <w:pPr>
        <w:pStyle w:val="Normal"/>
        <w:rPr/>
      </w:pPr>
      <w:r>
        <w:rPr/>
        <w:t xml:space="preserve">                                                                                 </w:t>
      </w:r>
    </w:p>
    <w:p>
      <w:pPr>
        <w:pStyle w:val="Normal"/>
        <w:rPr/>
      </w:pPr>
      <w:r>
        <w:rPr/>
      </w:r>
    </w:p>
    <w:p>
      <w:pPr>
        <w:pStyle w:val="Normal"/>
        <w:rPr>
          <w:b/>
          <w:b/>
          <w:bCs/>
        </w:rPr>
      </w:pPr>
      <w:r>
        <w:rPr>
          <w:b/>
          <w:bCs/>
        </w:rPr>
      </w:r>
    </w:p>
    <w:p>
      <w:pPr>
        <w:pStyle w:val="Normal"/>
        <w:rPr/>
      </w:pPr>
      <w:r>
        <w:rPr>
          <w:b/>
          <w:bCs/>
        </w:rPr>
        <w:t>2-3   L’erreur surfacique</w:t>
      </w:r>
    </w:p>
    <w:p>
      <w:pPr>
        <w:pStyle w:val="Normal"/>
        <w:jc w:val="both"/>
        <w:rPr>
          <w:b/>
          <w:b/>
          <w:bCs/>
        </w:rPr>
      </w:pPr>
      <w:r>
        <w:rPr>
          <w:b/>
          <w:bCs/>
        </w:rPr>
      </w:r>
    </w:p>
    <w:p>
      <w:pPr>
        <w:pStyle w:val="Normal"/>
        <w:jc w:val="both"/>
        <w:rPr/>
      </w:pPr>
      <w:r>
        <w:rPr/>
        <w:tab/>
      </w:r>
      <w:r>
        <w:rPr>
          <w:rFonts w:ascii="Times New Roman" w:hAnsi="Times New Roman"/>
          <w:sz w:val="22"/>
          <w:szCs w:val="22"/>
        </w:rPr>
        <w:t xml:space="preserve">Il existe en outre une troisième erreur dans ce calcul, aboutissant au chiffre de 33 °C. Nous l’appellerons l’erreur surfacique. De quoi s’agit-il ?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Le calcul qui est fait répartit l’irradiance entrante sur la surface entière de la terre, quatre fois plus grande que la surface du disque intercepté par le rayonnement solaire. Il considère par conséquent une surface quatre fois plus grande qui serait en quelque sorte étalée à plat face au soleil. Cela signifie qu’il ne fait pas de distinction par exemple entre un mètre carré situé à l’équateur et un mètre carré situé au pôle. Ces deux surfaces de 1 mètre carré sont traitées de la même façon. En outre, les différentes surfaces de 1 mètre carré situées à l’équateur sont toutes considérées comme étant toutes en même temps au zénith.</w:t>
      </w:r>
    </w:p>
    <w:p>
      <w:pPr>
        <w:pStyle w:val="Normal"/>
        <w:jc w:val="both"/>
        <w:rPr>
          <w:rFonts w:ascii="Times New Roman" w:hAnsi="Times New Roman"/>
          <w:sz w:val="22"/>
          <w:szCs w:val="22"/>
        </w:rPr>
      </w:pPr>
      <w:r>
        <w:rPr>
          <w:rFonts w:ascii="Times New Roman" w:hAnsi="Times New Roman"/>
          <w:sz w:val="22"/>
          <w:szCs w:val="22"/>
        </w:rPr>
        <w:br/>
        <w:tab/>
        <w:t xml:space="preserve">Or, il est évidemment nécessaire si l’on veut faire un calcul correct de tenir compte de l’angle qui existe entre chaque surface de 1 mètre carré et la direction du soleil. Cet angle peut varier de 0° au zénith jusqu’à 90° lorsque la surface est située au terminateur, c’est-à-dire la zone où règne le crépuscule entre la nuit et le jour. </w:t>
      </w:r>
    </w:p>
    <w:p>
      <w:pPr>
        <w:pStyle w:val="Normal"/>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L’erreur surfacique est donc incontestable. Il est nécessaire mathématiquement d’utiliser des intégrales pour la corriger.  Gerlich et Tscheuschner ont fait un tel calcul corrigé. Ils trouvent une température moyenne de 144 K = -129°C. Voici le fac-similé de leur article qui la montre :  </w:t>
      </w:r>
    </w:p>
    <w:p>
      <w:pPr>
        <w:pStyle w:val="Normal"/>
        <w:jc w:val="both"/>
        <w:rPr/>
      </w:pPr>
      <w:r>
        <w:rPr/>
      </w:r>
    </w:p>
    <w:p>
      <w:pPr>
        <w:pStyle w:val="Normal"/>
        <w:jc w:val="both"/>
        <w:rPr/>
      </w:pPr>
      <w:r>
        <w:rPr/>
        <w:drawing>
          <wp:anchor behindDoc="0" distT="0" distB="0" distL="0" distR="0" simplePos="0" locked="0" layoutInCell="0" allowOverlap="1" relativeHeight="18">
            <wp:simplePos x="0" y="0"/>
            <wp:positionH relativeFrom="column">
              <wp:posOffset>171450</wp:posOffset>
            </wp:positionH>
            <wp:positionV relativeFrom="paragraph">
              <wp:posOffset>50800</wp:posOffset>
            </wp:positionV>
            <wp:extent cx="6120130" cy="2361565"/>
            <wp:effectExtent l="0" t="0" r="0" b="0"/>
            <wp:wrapSquare wrapText="largest"/>
            <wp:docPr id="20"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8" descr=""/>
                    <pic:cNvPicPr>
                      <a:picLocks noChangeAspect="1" noChangeArrowheads="1"/>
                    </pic:cNvPicPr>
                  </pic:nvPicPr>
                  <pic:blipFill>
                    <a:blip r:embed="rId10"/>
                    <a:stretch>
                      <a:fillRect/>
                    </a:stretch>
                  </pic:blipFill>
                  <pic:spPr bwMode="auto">
                    <a:xfrm>
                      <a:off x="0" y="0"/>
                      <a:ext cx="6120130" cy="2361565"/>
                    </a:xfrm>
                    <a:prstGeom prst="rect">
                      <a:avLst/>
                    </a:prstGeom>
                    <a:ln w="635">
                      <a:solidFill>
                        <a:srgbClr val="000000"/>
                      </a:solidFill>
                    </a:ln>
                  </pic:spPr>
                </pic:pic>
              </a:graphicData>
            </a:graphic>
          </wp:anchor>
        </w:drawing>
      </w:r>
    </w:p>
    <w:p>
      <w:pPr>
        <w:pStyle w:val="Normal"/>
        <w:jc w:val="both"/>
        <w:rPr/>
      </w:pPr>
      <w:r>
        <w:rPr/>
        <w:t xml:space="preserve">               </w:t>
      </w:r>
      <w:r>
        <w:rPr>
          <w:rFonts w:ascii="Times New Roman" w:hAnsi="Times New Roman"/>
          <w:sz w:val="22"/>
          <w:szCs w:val="22"/>
        </w:rPr>
        <w:t xml:space="preserve">       </w:t>
      </w:r>
      <w:r>
        <w:rPr>
          <w:rFonts w:ascii="Times New Roman" w:hAnsi="Times New Roman"/>
          <w:sz w:val="22"/>
          <w:szCs w:val="22"/>
        </w:rPr>
        <w:t>Le tableau ci-dessus compare les résultats obtenus par le GIEC à gauche et par Gerlich et Tscheuschner à droite en rectifiant l’erreur surfacique. Notons que les calculs de la colonne droite « commettent », mais seulement en apparence,  l’erreur de l’enseignant. Tout dépend en effet de la manière dont ce résultat est interprété. Nous approfondirons cette question au paragraphe consacré au seul calcul correct qui peut être fait dans le but de trouver la température qui règne au sol, sur notre planète.</w:t>
      </w:r>
    </w:p>
    <w:p>
      <w:pPr>
        <w:pStyle w:val="Normal"/>
        <w:jc w:val="both"/>
        <w:rPr>
          <w:rFonts w:ascii="Times New Roman" w:hAnsi="Times New Roman"/>
          <w:sz w:val="22"/>
          <w:szCs w:val="22"/>
        </w:rPr>
      </w:pPr>
      <w:r>
        <w:rPr>
          <w:rFonts w:ascii="Times New Roman" w:hAnsi="Times New Roman"/>
          <w:sz w:val="22"/>
          <w:szCs w:val="22"/>
        </w:rPr>
        <w:br/>
        <w:br/>
        <w:tab/>
        <w:t>Nous voyons de toute façon que l’erreur surfacique est non seulement incontestable, mais même considérable. Les chiffres obtenus par Gerlich et Tscheuschner sont sans commune mesure avec ceux obtenus par le GIEC.</w:t>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t>2-4  La quatrième erreur : confusion entre valeur moyenne et valeur maximum</w:t>
      </w:r>
    </w:p>
    <w:p>
      <w:pPr>
        <w:pStyle w:val="Normal"/>
        <w:jc w:val="both"/>
        <w:rPr>
          <w:rFonts w:ascii="Times New Roman" w:hAnsi="Times New Roman"/>
          <w:b/>
          <w:b/>
          <w:bCs/>
          <w:sz w:val="26"/>
          <w:szCs w:val="26"/>
        </w:rPr>
      </w:pPr>
      <w:r>
        <w:rPr>
          <w:rFonts w:ascii="Times New Roman" w:hAnsi="Times New Roman"/>
          <w:b/>
          <w:bCs/>
          <w:sz w:val="26"/>
          <w:szCs w:val="26"/>
        </w:rPr>
        <w:br/>
        <w:tab/>
      </w:r>
      <w:r>
        <w:rPr>
          <w:rFonts w:ascii="Times New Roman" w:hAnsi="Times New Roman"/>
          <w:sz w:val="22"/>
          <w:szCs w:val="22"/>
        </w:rPr>
        <w:t>Pour bien comprendre cette quatrième erreur, il est nécessaire de reprendre le processus de calcul qui aboutit au chiffre de -18°C, afin de déterminer quelle est la signification exacte de ce résultat.</w:t>
      </w:r>
    </w:p>
    <w:p>
      <w:pPr>
        <w:pStyle w:val="Normal"/>
        <w:jc w:val="both"/>
        <w:rPr>
          <w:rFonts w:ascii="Times New Roman" w:hAnsi="Times New Roman"/>
          <w:b/>
          <w:b/>
          <w:bCs/>
          <w:sz w:val="26"/>
          <w:szCs w:val="26"/>
        </w:rPr>
      </w:pPr>
      <w:r>
        <w:rPr>
          <w:rFonts w:ascii="Times New Roman" w:hAnsi="Times New Roman"/>
          <w:sz w:val="22"/>
          <w:szCs w:val="22"/>
        </w:rPr>
        <w:br/>
        <w:tab/>
        <w:t xml:space="preserve">Il est clair que – 18°C n’a aucun rapport avec la température au sol, avec ou sans gaz à effet de serre. L’erreur qui consiste à distribuer l’irradiance entrante sur l’ensemble de la terre est un erreur très grave. Elle considère que le soleil éclaire la terre de la même façon le jour et la nuit, avec une irradiance moitié de celle qu’il a en réalité. Elle est aggravée par l’erreur </w:t>
      </w:r>
      <w:r>
        <w:rPr>
          <w:color w:val="000000"/>
        </w:rPr>
        <w:t>signalée par</w:t>
      </w:r>
      <w:r>
        <w:rPr>
          <w:rFonts w:ascii="Times New Roman" w:hAnsi="Times New Roman"/>
          <w:color w:val="000000"/>
          <w:sz w:val="22"/>
          <w:szCs w:val="22"/>
        </w:rPr>
        <w:t xml:space="preserve"> </w:t>
      </w:r>
      <w:r>
        <w:rPr>
          <w:rFonts w:ascii="Times New Roman" w:hAnsi="Times New Roman"/>
          <w:sz w:val="22"/>
          <w:szCs w:val="22"/>
        </w:rPr>
        <w:t>Gerlich et plus encore par l’erreur surfacique, qui consiste quant à elle à considérer que tous les points de la terre sont au zénith.</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Un tel calcul peut-il être appelé un calcul scientifique ?</w:t>
      </w:r>
    </w:p>
    <w:p>
      <w:pPr>
        <w:pStyle w:val="Normal"/>
        <w:jc w:val="both"/>
        <w:rPr>
          <w:rFonts w:ascii="Times New Roman" w:hAnsi="Times New Roman"/>
          <w:sz w:val="22"/>
          <w:szCs w:val="22"/>
        </w:rPr>
      </w:pPr>
      <w:r>
        <w:rPr>
          <w:rFonts w:ascii="Times New Roman" w:hAnsi="Times New Roman"/>
          <w:sz w:val="22"/>
          <w:szCs w:val="22"/>
        </w:rPr>
        <w:br/>
        <w:tab/>
        <w:t>Pourtant ce calcul recueille encore la presque totalité des suffrages. C’est un chiffre dit « consensuel ». La raison en est probablement que -18°C représente tout de même une réalité parfaitement mesurable. Il s’agit en effet, comme nous allons le détailler ci-dessous, de la température de rayonnement du système terre-atmosphère, vu du cosmos. C’est-à-dire qu’il s’agit du rayonnement sortant et non pas du rayonnement entrant.</w:t>
      </w:r>
    </w:p>
    <w:p>
      <w:pPr>
        <w:pStyle w:val="Normal"/>
        <w:jc w:val="both"/>
        <w:rPr>
          <w:rFonts w:ascii="Times New Roman" w:hAnsi="Times New Roman"/>
          <w:b/>
          <w:b/>
          <w:bCs/>
          <w:sz w:val="26"/>
          <w:szCs w:val="26"/>
        </w:rPr>
      </w:pPr>
      <w:r>
        <w:rPr>
          <w:rFonts w:ascii="Times New Roman" w:hAnsi="Times New Roman"/>
          <w:sz w:val="22"/>
          <w:szCs w:val="22"/>
        </w:rPr>
        <w:br/>
        <w:tab/>
        <w:t>Remarquons tout d’abord que le calcul qui aboutit à ce chiffre est basé sur l’idée que le système terre</w:t>
      </w:r>
      <w:r>
        <w:rPr>
          <w:rFonts w:ascii="Times New Roman" w:hAnsi="Times New Roman"/>
          <w:strike/>
          <w:sz w:val="22"/>
          <w:szCs w:val="22"/>
        </w:rPr>
        <w:t>-</w:t>
      </w:r>
      <w:r>
        <w:rPr>
          <w:rFonts w:ascii="Times New Roman" w:hAnsi="Times New Roman"/>
          <w:sz w:val="22"/>
          <w:szCs w:val="22"/>
        </w:rPr>
        <w:t>atmosphère est en équilibre radiatif. Ceci est en effet conforme à la réalité observée depuis des millénaires. La terre ne chauffe plus et cela signifie que le système terre-atmosphère renvoie radiativement autant d’énergie qu’il en reçoit. Nous obtenons donc le calcul suivant, avec des notations évidentes :</w:t>
      </w:r>
    </w:p>
    <w:p>
      <w:pPr>
        <w:pStyle w:val="Normal"/>
        <w:jc w:val="both"/>
        <w:rPr>
          <w:rFonts w:ascii="Times New Roman" w:hAnsi="Times New Roman"/>
          <w:sz w:val="22"/>
          <w:szCs w:val="22"/>
        </w:rPr>
      </w:pPr>
      <w:r>
        <w:rPr>
          <w:rFonts w:ascii="Times New Roman" w:hAnsi="Times New Roman"/>
          <w:sz w:val="22"/>
          <w:szCs w:val="22"/>
        </w:rPr>
      </w:r>
    </w:p>
    <w:p>
      <w:pPr>
        <w:pStyle w:val="Normal"/>
        <w:jc w:val="left"/>
        <w:rPr>
          <w:rFonts w:ascii="Times New Roman" w:hAnsi="Times New Roman"/>
          <w:sz w:val="22"/>
          <w:szCs w:val="22"/>
        </w:rPr>
      </w:pPr>
      <w:r>
        <w:rPr/>
      </w:r>
      <m:oMathPara xmlns:m="http://schemas.openxmlformats.org/officeDocument/2006/math">
        <m:oMathParaPr>
          <m:jc m:val="left"/>
        </m:oMathParaPr>
        <m:oMath>
          <m:eqArr>
            <m:e>
              <m:r>
                <m:rPr>
                  <m:lit/>
                  <m:nor/>
                </m:rPr>
                <w:rPr>
                  <w:rFonts w:ascii="Cambria Math" w:hAnsi="Cambria Math"/>
                </w:rPr>
                <m:t xml:space="preserve">     Comme le sytème terre-atmosphère renvoie toute l'énergie reçue, on égale cette énergie reçue </m:t>
              </m:r>
            </m:e>
            <m:e>
              <m:r>
                <m:rPr>
                  <m:lit/>
                  <m:nor/>
                </m:rPr>
                <w:rPr>
                  <w:rFonts w:ascii="Cambria Math" w:hAnsi="Cambria Math"/>
                </w:rPr>
                <m:t xml:space="preserve"> </m:t>
              </m:r>
              <m:d>
                <m:dPr>
                  <m:begChr m:val="("/>
                  <m:endChr m:val=")"/>
                </m:dPr>
                <m:e>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e>
              </m:d>
              <m:r>
                <m:rPr>
                  <m:lit/>
                  <m:nor/>
                </m:rPr>
                <w:rPr>
                  <w:rFonts w:ascii="Cambria Math" w:hAnsi="Cambria Math"/>
                </w:rPr>
                <m:t xml:space="preserve">et l'énergie qu'elle émet, calculée en multipliant la surface de la sphère terrestre </m:t>
              </m:r>
              <m:d>
                <m:dPr>
                  <m:begChr m:val="("/>
                  <m:endChr m:val=")"/>
                </m:dPr>
                <m:e>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e>
              </m:d>
              <m:r>
                <m:rPr>
                  <m:lit/>
                  <m:nor/>
                </m:rPr>
                <w:rPr>
                  <w:rFonts w:ascii="Cambria Math" w:hAnsi="Cambria Math"/>
                </w:rPr>
                <m:t xml:space="preserve"> </m:t>
              </m:r>
            </m:e>
            <m:e>
              <m:r>
                <m:rPr>
                  <m:lit/>
                  <m:nor/>
                </m:rPr>
                <w:rPr>
                  <w:rFonts w:ascii="Cambria Math" w:hAnsi="Cambria Math"/>
                </w:rPr>
                <m:t xml:space="preserve">par la puissance surfacique de celle-ci </m:t>
              </m:r>
              <m:d>
                <m:dPr>
                  <m:begChr m:val="("/>
                  <m:endChr m:val=")"/>
                </m:dPr>
                <m:e>
                  <m:r>
                    <w:rPr>
                      <w:rFonts w:ascii="Cambria Math" w:hAnsi="Cambria Math"/>
                    </w:rPr>
                    <m:t xml:space="preserve">σ</m:t>
                  </m:r>
                  <m:sSubSup>
                    <m:e>
                      <m:r>
                        <w:rPr>
                          <w:rFonts w:ascii="Cambria Math" w:hAnsi="Cambria Math"/>
                        </w:rPr>
                        <m:t xml:space="preserve">T</m:t>
                      </m:r>
                    </m:e>
                    <m:sub>
                      <m:r>
                        <w:rPr>
                          <w:rFonts w:ascii="Cambria Math" w:hAnsi="Cambria Math"/>
                        </w:rPr>
                        <m:t xml:space="preserve">T</m:t>
                      </m:r>
                    </m:sub>
                    <m:sup>
                      <m:r>
                        <w:rPr>
                          <w:rFonts w:ascii="Cambria Math" w:hAnsi="Cambria Math"/>
                        </w:rPr>
                        <m:t xml:space="preserve">4</m:t>
                      </m:r>
                    </m:sup>
                  </m:sSubSup>
                </m:e>
              </m:d>
              <m:r>
                <m:rPr>
                  <m:lit/>
                  <m:nor/>
                </m:rPr>
                <w:rPr>
                  <w:rFonts w:ascii="Cambria Math" w:hAnsi="Cambria Math"/>
                </w:rPr>
                <m:t xml:space="preserve">ce qui donne :</m:t>
              </m:r>
            </m:e>
            <m:e>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T</m:t>
                  </m:r>
                </m:sub>
                <m:sup>
                  <m:r>
                    <w:rPr>
                      <w:rFonts w:ascii="Cambria Math" w:hAnsi="Cambria Math"/>
                    </w:rPr>
                    <m:t xml:space="preserve">4</m:t>
                  </m:r>
                </m:sup>
              </m:sSubSup>
              <m:r>
                <w:rPr>
                  <w:rFonts w:ascii="Cambria Math" w:hAnsi="Cambria Math"/>
                </w:rPr>
                <m:t xml:space="preserve">=</m:t>
              </m:r>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r>
                <w:rPr>
                  <w:rFonts w:ascii="Cambria Math" w:hAnsi="Cambria Math"/>
                </w:rPr>
                <m:t xml:space="preserve">=</m:t>
              </m:r>
              <m:f>
                <m:num>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num>
                <m:den>
                  <m:r>
                    <w:rPr>
                      <w:rFonts w:ascii="Cambria Math" w:hAnsi="Cambria Math"/>
                    </w:rPr>
                    <m:t xml:space="preserve">4</m:t>
                  </m:r>
                  <m:r>
                    <w:rPr>
                      <w:rFonts w:ascii="Cambria Math" w:hAnsi="Cambria Math"/>
                    </w:rPr>
                    <m:t xml:space="preserve">π</m:t>
                  </m:r>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r>
                <m:rPr>
                  <m:lit/>
                  <m:nor/>
                </m:rPr>
                <w:rPr>
                  <w:rFonts w:ascii="Cambria Math" w:hAnsi="Cambria Math"/>
                </w:rPr>
                <m:t xml:space="preserve">            (1)</m:t>
              </m:r>
            </m:e>
            <m:e>
              <m:r>
                <m:rPr>
                  <m:lit/>
                  <m:nor/>
                </m:rPr>
                <w:rPr>
                  <w:rFonts w:ascii="Cambria Math" w:hAnsi="Cambria Math"/>
                </w:rPr>
                <m:t xml:space="preserve">Nous trouvons donc, après simplifications, une température </m:t>
              </m:r>
              <m:sSub>
                <m:e>
                  <m:r>
                    <w:rPr>
                      <w:rFonts w:ascii="Cambria Math" w:hAnsi="Cambria Math"/>
                    </w:rPr>
                    <m:t xml:space="preserve">T</m:t>
                  </m:r>
                </m:e>
                <m:sub>
                  <m:sSub>
                    <m:e>
                      <m:r>
                        <w:rPr>
                          <w:rFonts w:ascii="Cambria Math" w:hAnsi="Cambria Math"/>
                        </w:rPr>
                        <m:t xml:space="preserve">T</m:t>
                      </m:r>
                    </m:e>
                    <m:sub>
                      <m:r>
                        <w:rPr>
                          <w:rFonts w:ascii="Cambria Math" w:hAnsi="Cambria Math"/>
                        </w:rPr>
                        <m:t xml:space="preserve">1</m:t>
                      </m:r>
                    </m:sub>
                  </m:sSub>
                </m:sub>
              </m:sSub>
            </m:e>
            <m:e>
              <m:sSub>
                <m:e>
                  <m:r>
                    <w:rPr>
                      <w:rFonts w:ascii="Cambria Math" w:hAnsi="Cambria Math"/>
                    </w:rPr>
                    <m:t xml:space="preserve">T</m:t>
                  </m:r>
                </m:e>
                <m:sub>
                  <m:sSub>
                    <m:e>
                      <m:r>
                        <w:rPr>
                          <w:rFonts w:ascii="Cambria Math" w:hAnsi="Cambria Math"/>
                        </w:rPr>
                        <m:t xml:space="preserve">T</m:t>
                      </m:r>
                    </m:e>
                    <m:sub>
                      <m:r>
                        <w:rPr>
                          <w:rFonts w:ascii="Cambria Math" w:hAnsi="Cambria Math"/>
                        </w:rPr>
                        <m:t xml:space="preserve">1</m:t>
                      </m:r>
                    </m:sub>
                  </m:sSub>
                </m:sub>
              </m:sSub>
              <m:r>
                <w:rPr>
                  <w:rFonts w:ascii="Cambria Math" w:hAnsi="Cambria Math"/>
                </w:rPr>
                <m:t xml:space="preserve">=</m:t>
              </m:r>
              <m:sSub>
                <m:e>
                  <m:r>
                    <w:rPr>
                      <w:rFonts w:ascii="Cambria Math" w:hAnsi="Cambria Math"/>
                    </w:rPr>
                    <m:t xml:space="preserve">T</m:t>
                  </m:r>
                </m:e>
                <m:sub>
                  <m:r>
                    <w:rPr>
                      <w:rFonts w:ascii="Cambria Math" w:hAnsi="Cambria Math"/>
                    </w:rPr>
                    <m:t xml:space="preserve">S</m:t>
                  </m:r>
                </m:sub>
              </m:sSub>
              <m:sSup>
                <m:e>
                  <m:d>
                    <m:dPr>
                      <m:begChr m:val="("/>
                      <m:endChr m:val=")"/>
                    </m:dPr>
                    <m:e>
                      <m:f>
                        <m:num>
                          <m:sSub>
                            <m:e>
                              <m:r>
                                <w:rPr>
                                  <w:rFonts w:ascii="Cambria Math" w:hAnsi="Cambria Math"/>
                                </w:rPr>
                                <m:t xml:space="preserve">R</m:t>
                              </m:r>
                            </m:e>
                            <m:sub>
                              <m:r>
                                <w:rPr>
                                  <w:rFonts w:ascii="Cambria Math" w:hAnsi="Cambria Math"/>
                                </w:rPr>
                                <m:t xml:space="preserve">S</m:t>
                              </m:r>
                            </m:sub>
                          </m:sSub>
                        </m:num>
                        <m:den>
                          <m:r>
                            <w:rPr>
                              <w:rFonts w:ascii="Cambria Math" w:hAnsi="Cambria Math"/>
                            </w:rPr>
                            <m:t xml:space="preserve">2</m:t>
                          </m:r>
                          <m:r>
                            <w:rPr>
                              <w:rFonts w:ascii="Cambria Math" w:hAnsi="Cambria Math"/>
                            </w:rPr>
                            <m:t xml:space="preserve">TS</m:t>
                          </m:r>
                        </m:den>
                      </m:f>
                    </m:e>
                  </m:d>
                </m:e>
                <m:sup>
                  <m:f>
                    <m:fPr>
                      <m:type m:val="lin"/>
                    </m:fPr>
                    <m:num>
                      <m:r>
                        <w:rPr>
                          <w:rFonts w:ascii="Cambria Math" w:hAnsi="Cambria Math"/>
                        </w:rPr>
                        <m:t xml:space="preserve">1</m:t>
                      </m:r>
                    </m:num>
                    <m:den>
                      <m:r>
                        <w:rPr>
                          <w:rFonts w:ascii="Cambria Math" w:hAnsi="Cambria Math"/>
                        </w:rPr>
                        <m:t xml:space="preserve">2</m:t>
                      </m:r>
                    </m:den>
                  </m:f>
                </m:sup>
              </m:sSup>
              <m:r>
                <w:rPr>
                  <w:rFonts w:ascii="Cambria Math" w:hAnsi="Cambria Math"/>
                </w:rPr>
                <m:t xml:space="preserve">=</m:t>
              </m:r>
              <m:r>
                <w:rPr>
                  <w:rFonts w:ascii="Cambria Math" w:hAnsi="Cambria Math"/>
                </w:rPr>
                <m:t xml:space="preserve">279</m:t>
              </m:r>
              <m:r>
                <w:rPr>
                  <w:rFonts w:ascii="Cambria Math" w:hAnsi="Cambria Math"/>
                </w:rPr>
                <m:t xml:space="preserve">K</m:t>
              </m:r>
              <m:r>
                <w:rPr>
                  <w:rFonts w:ascii="Cambria Math" w:hAnsi="Cambria Math"/>
                </w:rPr>
                <m:t xml:space="preserve">=</m:t>
              </m:r>
              <m:r>
                <w:rPr>
                  <w:rFonts w:ascii="Cambria Math" w:hAnsi="Cambria Math"/>
                </w:rPr>
                <m:t xml:space="preserve">6</m:t>
              </m:r>
              <m:r>
                <w:rPr>
                  <w:rFonts w:ascii="Cambria Math" w:hAnsi="Cambria Math"/>
                </w:rPr>
                <m:t xml:space="preserve">°</m:t>
              </m:r>
              <m:r>
                <w:rPr>
                  <w:rFonts w:ascii="Cambria Math" w:hAnsi="Cambria Math"/>
                </w:rPr>
                <m:t xml:space="preserve">C</m:t>
              </m:r>
            </m:e>
            <m:e>
              <m:r>
                <m:rPr>
                  <m:lit/>
                  <m:nor/>
                </m:rPr>
                <w:rPr>
                  <w:rFonts w:ascii="Cambria Math" w:hAnsi="Cambria Math"/>
                </w:rPr>
                <m:t xml:space="preserve"> Puis, si l'albedo a de la Terre est pris en compte, une température</m:t>
              </m:r>
              <m:sSub>
                <m:e>
                  <m:r>
                    <w:rPr>
                      <w:rFonts w:ascii="Cambria Math" w:hAnsi="Cambria Math"/>
                    </w:rPr>
                    <m:t xml:space="preserve">T</m:t>
                  </m:r>
                </m:e>
                <m:sub>
                  <m:sSub>
                    <m:e>
                      <m:r>
                        <w:rPr>
                          <w:rFonts w:ascii="Cambria Math" w:hAnsi="Cambria Math"/>
                        </w:rPr>
                        <m:t xml:space="preserve">T</m:t>
                      </m:r>
                    </m:e>
                    <m:sub>
                      <m:r>
                        <w:rPr>
                          <w:rFonts w:ascii="Cambria Math" w:hAnsi="Cambria Math"/>
                        </w:rPr>
                        <m:t xml:space="preserve">2</m:t>
                      </m:r>
                    </m:sub>
                  </m:sSub>
                </m:sub>
              </m:sSub>
              <m:r>
                <m:rPr>
                  <m:lit/>
                  <m:nor/>
                </m:rPr>
                <w:rPr>
                  <w:rFonts w:ascii="Cambria Math" w:hAnsi="Cambria Math"/>
                </w:rPr>
                <m:t xml:space="preserve">: </m:t>
              </m:r>
            </m:e>
            <m:e>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sSub>
                    <m:e>
                      <m:r>
                        <w:rPr>
                          <w:rFonts w:ascii="Cambria Math" w:hAnsi="Cambria Math"/>
                        </w:rPr>
                        <m:t xml:space="preserve">T</m:t>
                      </m:r>
                    </m:e>
                    <m:sub>
                      <m:r>
                        <w:rPr>
                          <w:rFonts w:ascii="Cambria Math" w:hAnsi="Cambria Math"/>
                        </w:rPr>
                        <m:t xml:space="preserve">2</m:t>
                      </m:r>
                    </m:sub>
                  </m:sSub>
                </m:sub>
                <m:sup>
                  <m:r>
                    <w:rPr>
                      <w:rFonts w:ascii="Cambria Math" w:hAnsi="Cambria Math"/>
                    </w:rPr>
                    <m:t xml:space="preserve">4</m:t>
                  </m:r>
                </m:sup>
              </m:sSubSup>
              <m:r>
                <w:rPr>
                  <w:rFonts w:ascii="Cambria Math" w:hAnsi="Cambria Math"/>
                </w:rPr>
                <m:t xml:space="preserve">=</m:t>
              </m:r>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a</m:t>
                  </m:r>
                </m:e>
              </m:d>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e>
            <m:e>
              <m:sSub>
                <m:e>
                  <m:r>
                    <w:rPr>
                      <w:rFonts w:ascii="Cambria Math" w:hAnsi="Cambria Math"/>
                    </w:rPr>
                    <m:t xml:space="preserve">T</m:t>
                  </m:r>
                </m:e>
                <m:sub>
                  <m:sSub>
                    <m:e>
                      <m:r>
                        <w:rPr>
                          <w:rFonts w:ascii="Cambria Math" w:hAnsi="Cambria Math"/>
                        </w:rPr>
                        <m:t xml:space="preserve">T</m:t>
                      </m:r>
                    </m:e>
                    <m:sub>
                      <m:r>
                        <w:rPr>
                          <w:rFonts w:ascii="Cambria Math" w:hAnsi="Cambria Math"/>
                        </w:rPr>
                        <m:t xml:space="preserve">2</m:t>
                      </m:r>
                    </m:sub>
                  </m:sSub>
                </m:sub>
              </m:sSub>
              <m:r>
                <w:rPr>
                  <w:rFonts w:ascii="Cambria Math" w:hAnsi="Cambria Math"/>
                </w:rPr>
                <m:t xml:space="preserve">=</m:t>
              </m:r>
              <m:sSup>
                <m:e>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a</m:t>
                      </m:r>
                    </m:e>
                  </m:d>
                </m:e>
                <m:sup>
                  <m:f>
                    <m:fPr>
                      <m:type m:val="lin"/>
                    </m:fPr>
                    <m:num>
                      <m:r>
                        <w:rPr>
                          <w:rFonts w:ascii="Cambria Math" w:hAnsi="Cambria Math"/>
                        </w:rPr>
                        <m:t xml:space="preserve">1</m:t>
                      </m:r>
                    </m:num>
                    <m:den>
                      <m:r>
                        <w:rPr>
                          <w:rFonts w:ascii="Cambria Math" w:hAnsi="Cambria Math"/>
                        </w:rPr>
                        <m:t xml:space="preserve">4</m:t>
                      </m:r>
                    </m:den>
                  </m:f>
                </m:sup>
              </m:sSup>
              <m:sSub>
                <m:e>
                  <m:r>
                    <w:rPr>
                      <w:rFonts w:ascii="Cambria Math" w:hAnsi="Cambria Math"/>
                    </w:rPr>
                    <m:t xml:space="preserve">T</m:t>
                  </m:r>
                </m:e>
                <m:sub>
                  <m:sSub>
                    <m:e>
                      <m:r>
                        <w:rPr>
                          <w:rFonts w:ascii="Cambria Math" w:hAnsi="Cambria Math"/>
                        </w:rPr>
                        <m:t xml:space="preserve">T</m:t>
                      </m:r>
                    </m:e>
                    <m:sub>
                      <m:r>
                        <w:rPr>
                          <w:rFonts w:ascii="Cambria Math" w:hAnsi="Cambria Math"/>
                        </w:rPr>
                        <m:t xml:space="preserve">1</m:t>
                      </m:r>
                    </m:sub>
                  </m:sSub>
                </m:sub>
              </m:sSub>
              <m:r>
                <w:rPr>
                  <w:rFonts w:ascii="Cambria Math" w:hAnsi="Cambria Math"/>
                </w:rPr>
                <m:t xml:space="preserve">=</m:t>
              </m:r>
              <m:r>
                <w:rPr>
                  <w:rFonts w:ascii="Cambria Math" w:hAnsi="Cambria Math"/>
                </w:rPr>
                <m:t xml:space="preserve">255</m:t>
              </m:r>
              <m:r>
                <w:rPr>
                  <w:rFonts w:ascii="Cambria Math" w:hAnsi="Cambria Math"/>
                </w:rPr>
                <m:t xml:space="preserve">K</m:t>
              </m:r>
              <m:r>
                <w:rPr>
                  <w:rFonts w:ascii="Cambria Math" w:hAnsi="Cambria Math"/>
                </w:rPr>
                <m:t xml:space="preserve">=</m:t>
              </m:r>
              <m:r>
                <w:rPr>
                  <w:rFonts w:ascii="Cambria Math" w:hAnsi="Cambria Math"/>
                </w:rPr>
                <m:t xml:space="preserve">−</m:t>
              </m:r>
              <m:r>
                <w:rPr>
                  <w:rFonts w:ascii="Cambria Math" w:hAnsi="Cambria Math"/>
                </w:rPr>
                <m:t xml:space="preserve">18</m:t>
              </m:r>
              <m:r>
                <w:rPr>
                  <w:rFonts w:ascii="Cambria Math" w:hAnsi="Cambria Math"/>
                </w:rPr>
                <m:t xml:space="preserve">°</m:t>
              </m:r>
              <m:r>
                <w:rPr>
                  <w:rFonts w:ascii="Cambria Math" w:hAnsi="Cambria Math"/>
                </w:rPr>
                <m:t xml:space="preserve">C</m:t>
              </m:r>
            </m:e>
          </m:eqArr>
        </m:oMath>
      </m:oMathPara>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ab/>
        <w:t>L’égalisation (1) qui a été utilisée doit être examinée de très près et interprétée avec la plus grande précision pour découvrir et comprendre le seul vrai sens du résultat trouvé.</w:t>
      </w:r>
    </w:p>
    <w:p>
      <w:pPr>
        <w:pStyle w:val="Normal"/>
        <w:rPr>
          <w:rFonts w:ascii="Times New Roman" w:hAnsi="Times New Roman"/>
        </w:rPr>
      </w:pPr>
      <w:r>
        <w:rPr>
          <w:rFonts w:ascii="Times New Roman" w:hAnsi="Times New Roman"/>
        </w:rPr>
      </w:r>
    </w:p>
    <w:p>
      <w:pPr>
        <w:pStyle w:val="Normal"/>
        <w:rPr>
          <w:rFonts w:ascii="Times New Roman" w:hAnsi="Times New Roman"/>
          <w:b/>
          <w:b/>
          <w:bCs/>
          <w:sz w:val="26"/>
          <w:szCs w:val="26"/>
        </w:rPr>
      </w:pPr>
      <w:r>
        <w:rPr>
          <w:rFonts w:ascii="Times New Roman" w:hAnsi="Times New Roman"/>
          <w:b/>
          <w:bCs/>
          <w:sz w:val="26"/>
          <w:szCs w:val="26"/>
        </w:rPr>
        <w:t>a) Le côté gauche de l’égalité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r>
      <w:r>
        <w:rPr>
          <w:rFonts w:ascii="Times New Roman" w:hAnsi="Times New Roman"/>
          <w:sz w:val="24"/>
          <w:szCs w:val="24"/>
        </w:rPr>
        <w:t xml:space="preserve">Ce côté comporte le produit de la surface totale de la sphère terrestre </w:t>
      </w:r>
      <w:r>
        <w:rPr/>
      </w:r>
      <m:oMath xmlns:m="http://schemas.openxmlformats.org/officeDocument/2006/math">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oMath>
      <w:r>
        <w:rPr>
          <w:rFonts w:ascii="Times New Roman" w:hAnsi="Times New Roman"/>
          <w:sz w:val="24"/>
          <w:szCs w:val="24"/>
        </w:rPr>
        <w:t xml:space="preserve"> par la puissance du rayonnement sortant émis par le système terre-atmosphère, en raison de sa température T</w:t>
      </w:r>
      <w:r>
        <w:rPr>
          <w:rFonts w:ascii="Times New Roman" w:hAnsi="Times New Roman"/>
          <w:sz w:val="24"/>
          <w:szCs w:val="24"/>
          <w:vertAlign w:val="subscript"/>
        </w:rPr>
        <w:t>T</w:t>
      </w:r>
      <w:r>
        <w:rPr>
          <w:rFonts w:ascii="Times New Roman" w:hAnsi="Times New Roman"/>
          <w:sz w:val="24"/>
          <w:szCs w:val="24"/>
        </w:rPr>
        <w:t>, par application de la loi de Stefan-Boltzmann. La question que l’on doit mathématiquement se poser est alors la suivante : il est appliqué une puissance surfacique à la surface totale de la sphère terrestre, comme si chaque point de cette sphère émettait le même rayonnement. Est-ce le cas ?</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2"/>
          <w:szCs w:val="22"/>
        </w:rPr>
      </w:pPr>
      <w:r>
        <w:rPr>
          <w:rFonts w:ascii="Times New Roman" w:hAnsi="Times New Roman"/>
          <w:sz w:val="24"/>
          <w:szCs w:val="24"/>
        </w:rPr>
        <w:tab/>
        <w:t xml:space="preserve">La réponse est oui, en ce qui concerne le </w:t>
      </w:r>
      <w:r>
        <w:rPr>
          <w:rFonts w:ascii="Times New Roman" w:hAnsi="Times New Roman"/>
          <w:b/>
          <w:bCs/>
          <w:sz w:val="24"/>
          <w:szCs w:val="24"/>
        </w:rPr>
        <w:t>système terre-atmosphère tout entier.</w:t>
      </w:r>
      <w:r>
        <w:rPr>
          <w:rFonts w:ascii="Times New Roman" w:hAnsi="Times New Roman"/>
          <w:sz w:val="24"/>
          <w:szCs w:val="24"/>
        </w:rPr>
        <w:t xml:space="preserve"> En effet, la photo ci-dessous montre que le rayonnement sortant du </w:t>
      </w:r>
      <w:r>
        <w:rPr>
          <w:rFonts w:ascii="Times New Roman" w:hAnsi="Times New Roman"/>
          <w:b/>
          <w:bCs/>
          <w:sz w:val="24"/>
          <w:szCs w:val="24"/>
        </w:rPr>
        <w:t xml:space="preserve">système tout entier </w:t>
      </w:r>
      <w:r>
        <w:rPr>
          <w:rFonts w:ascii="Times New Roman" w:hAnsi="Times New Roman"/>
          <w:sz w:val="24"/>
          <w:szCs w:val="24"/>
        </w:rPr>
        <w:t xml:space="preserve">est remarquablement homogène, indépendant ou presque de la latitude et indépendant également du fait qu’il fasse jour ou qu’il fasse nuit en dessous du point considéré du </w:t>
      </w:r>
      <w:r>
        <w:rPr>
          <w:rFonts w:ascii="Times New Roman" w:hAnsi="Times New Roman"/>
          <w:b/>
          <w:bCs/>
          <w:sz w:val="24"/>
          <w:szCs w:val="24"/>
        </w:rPr>
        <w:t>système terre-atmosphère,</w:t>
      </w:r>
      <w:r>
        <w:rPr>
          <w:rFonts w:ascii="Times New Roman" w:hAnsi="Times New Roman"/>
          <w:sz w:val="24"/>
          <w:szCs w:val="24"/>
        </w:rPr>
        <w:t xml:space="preserve"> quelque soit ce point.</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r>
      <w:r>
        <w:rPr>
          <w:rFonts w:ascii="Times New Roman" w:hAnsi="Times New Roman"/>
          <w:sz w:val="24"/>
          <w:szCs w:val="24"/>
        </w:rPr>
        <w:t>Voici une photo qui illustre cet état de choses, assez remarquable.</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br/>
        <w:b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drawing>
          <wp:anchor behindDoc="0" distT="0" distB="0" distL="0" distR="0" simplePos="0" locked="0" layoutInCell="0" allowOverlap="1" relativeHeight="19">
            <wp:simplePos x="0" y="0"/>
            <wp:positionH relativeFrom="column">
              <wp:posOffset>1593215</wp:posOffset>
            </wp:positionH>
            <wp:positionV relativeFrom="paragraph">
              <wp:posOffset>134620</wp:posOffset>
            </wp:positionV>
            <wp:extent cx="2534285" cy="2218690"/>
            <wp:effectExtent l="0" t="0" r="0" b="0"/>
            <wp:wrapSquare wrapText="largest"/>
            <wp:docPr id="21"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 descr=""/>
                    <pic:cNvPicPr>
                      <a:picLocks noChangeAspect="1" noChangeArrowheads="1"/>
                    </pic:cNvPicPr>
                  </pic:nvPicPr>
                  <pic:blipFill>
                    <a:blip r:embed="rId11"/>
                    <a:stretch>
                      <a:fillRect/>
                    </a:stretch>
                  </pic:blipFill>
                  <pic:spPr bwMode="auto">
                    <a:xfrm>
                      <a:off x="0" y="0"/>
                      <a:ext cx="2534285" cy="2218690"/>
                    </a:xfrm>
                    <a:prstGeom prst="rect">
                      <a:avLst/>
                    </a:prstGeom>
                  </pic:spPr>
                </pic:pic>
              </a:graphicData>
            </a:graphic>
          </wp:anchor>
        </w:drawing>
      </w:r>
    </w:p>
    <w:p>
      <w:pPr>
        <w:pStyle w:val="Normal"/>
        <w:rPr/>
      </w:pPr>
      <w:r>
        <w:rPr/>
      </w:r>
    </w:p>
    <w:p>
      <w:pPr>
        <w:pStyle w:val="Normal"/>
        <w:rPr/>
      </w:pPr>
      <w:r>
        <w:rPr/>
      </w:r>
    </w:p>
    <w:p>
      <w:pPr>
        <w:pStyle w:val="Normal"/>
        <w:jc w:val="center"/>
        <w:rPr/>
      </w:pPr>
      <w:r>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r>
    </w:p>
    <w:p>
      <w:pPr>
        <w:pStyle w:val="Normal"/>
        <w:jc w:val="center"/>
        <w:rPr>
          <w:i/>
          <w:i/>
          <w:iCs/>
        </w:rPr>
      </w:pPr>
      <w:r>
        <w:rPr>
          <w:i/>
          <w:iCs/>
        </w:rPr>
        <w:t>Vue infrarouge de la terre (janvier 2015). Les niveaux de gris correspondent aux températures donc aux altitudes d’émission vers l’espace. Plus la couleur est noire plus la température est froide et l’émission correspondante a lieu à haute altitude.</w:t>
      </w:r>
    </w:p>
    <w:p>
      <w:pPr>
        <w:pStyle w:val="Normal"/>
        <w:jc w:val="center"/>
        <w:rPr>
          <w:sz w:val="24"/>
          <w:szCs w:val="24"/>
        </w:rPr>
      </w:pPr>
      <w:r>
        <w:rPr>
          <w:sz w:val="24"/>
          <w:szCs w:val="24"/>
        </w:rPr>
        <w:t xml:space="preserve">  </w:t>
      </w:r>
    </w:p>
    <w:p>
      <w:pPr>
        <w:pStyle w:val="Normal"/>
        <w:jc w:val="both"/>
        <w:rPr>
          <w:sz w:val="24"/>
          <w:szCs w:val="24"/>
        </w:rPr>
      </w:pPr>
      <w:r>
        <w:rPr>
          <w:sz w:val="24"/>
          <w:szCs w:val="24"/>
        </w:rPr>
        <w:tab/>
      </w:r>
      <w:r>
        <w:rPr>
          <w:rFonts w:ascii="Times New Roman" w:hAnsi="Times New Roman"/>
          <w:sz w:val="24"/>
          <w:szCs w:val="24"/>
        </w:rPr>
        <w:t xml:space="preserve">Le côté gauche tient donc bien compte de la répartition réelle du rayonnement sortant de l’ensemble du système terre-atmosphère. Cette dernière remarque est très importante. Le rayonnement sortant se fait bien de manière quasiment égale en tout point de la sphère terrestre, donc </w:t>
      </w:r>
      <w:r>
        <w:rPr>
          <w:rFonts w:ascii="Times New Roman" w:hAnsi="Times New Roman"/>
          <w:b/>
          <w:bCs/>
          <w:sz w:val="24"/>
          <w:szCs w:val="24"/>
        </w:rPr>
        <w:t>en haut de l’atmosphère.</w:t>
      </w:r>
    </w:p>
    <w:p>
      <w:pPr>
        <w:pStyle w:val="Normal"/>
        <w:jc w:val="both"/>
        <w:rPr>
          <w:sz w:val="24"/>
          <w:szCs w:val="24"/>
        </w:rPr>
      </w:pPr>
      <w:r>
        <w:rPr>
          <w:rFonts w:ascii="Times New Roman" w:hAnsi="Times New Roman"/>
          <w:sz w:val="24"/>
          <w:szCs w:val="24"/>
        </w:rPr>
        <w:br/>
        <w:tab/>
        <w:t xml:space="preserve">Ce n’est, bien au contraire, </w:t>
      </w:r>
      <w:r>
        <w:rPr>
          <w:rFonts w:ascii="Times New Roman" w:hAnsi="Times New Roman"/>
          <w:b/>
          <w:bCs/>
          <w:sz w:val="24"/>
          <w:szCs w:val="24"/>
        </w:rPr>
        <w:t>pas du tout le cas du rayonnement entrant</w:t>
      </w:r>
      <w:r>
        <w:rPr>
          <w:rFonts w:ascii="Times New Roman" w:hAnsi="Times New Roman"/>
          <w:sz w:val="24"/>
          <w:szCs w:val="24"/>
        </w:rPr>
        <w:t> : il y a la nuit où rien n’entre et il y a le jour où tout entre. Cette différence est capitale, mais par contre, elle n’est jamais prise en compte correctement.</w:t>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t>b) Le côté droit de l’égalité :</w:t>
      </w:r>
    </w:p>
    <w:p>
      <w:pPr>
        <w:pStyle w:val="Normal"/>
        <w:jc w:val="both"/>
        <w:rPr>
          <w:rFonts w:ascii="Times New Roman" w:hAnsi="Times New Roman"/>
          <w:sz w:val="22"/>
          <w:szCs w:val="22"/>
        </w:rPr>
      </w:pPr>
      <w:r>
        <w:rPr>
          <w:rFonts w:ascii="Times New Roman" w:hAnsi="Times New Roman"/>
          <w:sz w:val="22"/>
          <w:szCs w:val="22"/>
        </w:rPr>
        <w:br/>
      </w:r>
      <w:r>
        <w:rPr>
          <w:rFonts w:ascii="Times New Roman" w:hAnsi="Times New Roman"/>
          <w:sz w:val="24"/>
          <w:szCs w:val="24"/>
        </w:rPr>
        <w:tab/>
        <w:t xml:space="preserve">Ce côté représente très exactement la puissance captée par le système terre-atmosphère, puisqu’on multiplie la surface du disque intercepté par le rayonnement solaire, qui est bien </w:t>
      </w:r>
      <w:r>
        <w:rPr/>
      </w:r>
      <m:oMath xmlns:m="http://schemas.openxmlformats.org/officeDocument/2006/math">
        <m:r>
          <w:rPr>
            <w:rFonts w:ascii="Cambria Math" w:hAnsi="Cambria Math"/>
          </w:rPr>
          <m:t xml:space="preserve">π</m:t>
        </m:r>
        <m:sSubSup>
          <m:e>
            <m:r>
              <w:rPr>
                <w:rFonts w:ascii="Cambria Math" w:hAnsi="Cambria Math"/>
              </w:rPr>
              <m:t xml:space="preserve">R</m:t>
            </m:r>
          </m:e>
          <m:sub>
            <m:r>
              <w:rPr>
                <w:rFonts w:ascii="Cambria Math" w:hAnsi="Cambria Math"/>
              </w:rPr>
              <m:t xml:space="preserve">T</m:t>
            </m:r>
          </m:sub>
          <m:sup>
            <m:r>
              <w:rPr>
                <w:rFonts w:ascii="Cambria Math" w:hAnsi="Cambria Math"/>
              </w:rPr>
              <m:t xml:space="preserve">2</m:t>
            </m:r>
          </m:sup>
        </m:sSubSup>
      </m:oMath>
      <w:r>
        <w:rPr>
          <w:rFonts w:ascii="Times New Roman" w:hAnsi="Times New Roman"/>
          <w:sz w:val="24"/>
          <w:szCs w:val="24"/>
        </w:rPr>
        <w:br/>
        <w:t>par le flux solaire à la distance du système terre-atmosphère, qui est bien égal à</w:t>
      </w:r>
    </w:p>
    <w:p>
      <w:pPr>
        <w:pStyle w:val="Normal"/>
        <w:jc w:val="both"/>
        <w:rPr>
          <w:rFonts w:ascii="Times New Roman" w:hAnsi="Times New Roman"/>
          <w:sz w:val="24"/>
          <w:szCs w:val="24"/>
        </w:rPr>
      </w:pPr>
      <w:r>
        <w:rPr>
          <w:rFonts w:ascii="Times New Roman" w:hAnsi="Times New Roman"/>
          <w:sz w:val="24"/>
          <w:szCs w:val="24"/>
        </w:rPr>
      </w:r>
    </w:p>
    <w:p>
      <w:pPr>
        <w:pStyle w:val="Normal"/>
        <w:jc w:val="center"/>
        <w:rPr>
          <w:rFonts w:ascii="Times New Roman" w:hAnsi="Times New Roman"/>
          <w:sz w:val="24"/>
          <w:szCs w:val="24"/>
        </w:rPr>
      </w:pPr>
      <w:r>
        <w:rPr/>
      </w:r>
      <m:oMathPara xmlns:m="http://schemas.openxmlformats.org/officeDocument/2006/math">
        <m:oMathParaPr>
          <m:jc m:val="center"/>
        </m:oMathParaPr>
        <m:oMath>
          <m:sSub>
            <m:e>
              <m:r>
                <w:rPr>
                  <w:rFonts w:ascii="Cambria Math" w:hAnsi="Cambria Math"/>
                </w:rPr>
                <m:t xml:space="preserve">P</m:t>
              </m:r>
            </m:e>
            <m:sub>
              <m:r>
                <w:rPr>
                  <w:rFonts w:ascii="Cambria Math" w:hAnsi="Cambria Math"/>
                </w:rPr>
                <m:t xml:space="preserve">S</m:t>
              </m:r>
              <m:r>
                <w:rPr>
                  <w:rFonts w:ascii="Cambria Math" w:hAnsi="Cambria Math"/>
                </w:rPr>
                <m:t xml:space="preserve">→</m:t>
              </m:r>
              <m:r>
                <w:rPr>
                  <w:rFonts w:ascii="Cambria Math" w:hAnsi="Cambria Math"/>
                </w:rPr>
                <m:t xml:space="preserve">T</m:t>
              </m:r>
            </m:sub>
          </m:sSub>
          <m:r>
            <w:rPr>
              <w:rFonts w:ascii="Cambria Math" w:hAnsi="Cambria Math"/>
            </w:rPr>
            <m:t xml:space="preserve">=</m:t>
          </m:r>
          <m:f>
            <m:num>
              <m:r>
                <w:rPr>
                  <w:rFonts w:ascii="Cambria Math" w:hAnsi="Cambria Math"/>
                </w:rPr>
                <m:t xml:space="preserve">4</m:t>
              </m:r>
              <m:r>
                <w:rPr>
                  <w:rFonts w:ascii="Cambria Math" w:hAnsi="Cambria Math"/>
                </w:rPr>
                <m:t xml:space="preserve">π</m:t>
              </m:r>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num>
            <m:den>
              <m:r>
                <w:rPr>
                  <w:rFonts w:ascii="Cambria Math" w:hAnsi="Cambria Math"/>
                </w:rPr>
                <m:t xml:space="preserve">4</m:t>
              </m:r>
              <m:r>
                <w:rPr>
                  <w:rFonts w:ascii="Cambria Math" w:hAnsi="Cambria Math"/>
                </w:rPr>
                <m:t xml:space="preserve">π</m:t>
              </m:r>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m:t>
          </m:r>
          <m:f>
            <m:num>
              <m:sSubSup>
                <m:e>
                  <m:r>
                    <w:rPr>
                      <w:rFonts w:ascii="Cambria Math" w:hAnsi="Cambria Math"/>
                    </w:rPr>
                    <m:t xml:space="preserve">R</m:t>
                  </m:r>
                </m:e>
                <m:sub>
                  <m:r>
                    <w:rPr>
                      <w:rFonts w:ascii="Cambria Math" w:hAnsi="Cambria Math"/>
                    </w:rPr>
                    <m:t xml:space="preserve">S</m:t>
                  </m:r>
                </m:sub>
                <m:sup>
                  <m:r>
                    <w:rPr>
                      <w:rFonts w:ascii="Cambria Math" w:hAnsi="Cambria Math"/>
                    </w:rPr>
                    <m:t xml:space="preserve">2</m:t>
                  </m:r>
                </m:sup>
              </m:sSubSup>
              <m:r>
                <w:rPr>
                  <w:rFonts w:ascii="Cambria Math" w:hAnsi="Cambria Math"/>
                </w:rPr>
                <m:t xml:space="preserve">σ</m:t>
              </m:r>
              <m:sSubSup>
                <m:e>
                  <m:r>
                    <w:rPr>
                      <w:rFonts w:ascii="Cambria Math" w:hAnsi="Cambria Math"/>
                    </w:rPr>
                    <m:t xml:space="preserve">T</m:t>
                  </m:r>
                </m:e>
                <m:sub>
                  <m:r>
                    <w:rPr>
                      <w:rFonts w:ascii="Cambria Math" w:hAnsi="Cambria Math"/>
                    </w:rPr>
                    <m:t xml:space="preserve">S</m:t>
                  </m:r>
                </m:sub>
                <m:sup>
                  <m:r>
                    <w:rPr>
                      <w:rFonts w:ascii="Cambria Math" w:hAnsi="Cambria Math"/>
                    </w:rPr>
                    <m:t xml:space="preserve">4</m:t>
                  </m:r>
                </m:sup>
              </m:sSubSup>
            </m:num>
            <m:den>
              <m:sSup>
                <m:e>
                  <m:d>
                    <m:dPr>
                      <m:begChr m:val="("/>
                      <m:endChr m:val=")"/>
                    </m:dPr>
                    <m:e>
                      <m:r>
                        <w:rPr>
                          <w:rFonts w:ascii="Cambria Math" w:hAnsi="Cambria Math"/>
                        </w:rPr>
                        <m:t xml:space="preserve">TS</m:t>
                      </m:r>
                    </m:e>
                  </m:d>
                </m:e>
                <m:sup>
                  <m:r>
                    <w:rPr>
                      <w:rFonts w:ascii="Cambria Math" w:hAnsi="Cambria Math"/>
                    </w:rPr>
                    <m:t xml:space="preserve">2</m:t>
                  </m:r>
                </m:sup>
              </m:sSup>
            </m:den>
          </m:f>
          <m:r>
            <w:rPr>
              <w:rFonts w:ascii="Cambria Math" w:hAnsi="Cambria Math"/>
            </w:rPr>
            <m:t xml:space="preserve">≃</m:t>
          </m:r>
          <m:r>
            <w:rPr>
              <w:rFonts w:ascii="Cambria Math" w:hAnsi="Cambria Math"/>
            </w:rPr>
            <m:t xml:space="preserve">1350</m:t>
          </m:r>
          <m:f>
            <m:fPr>
              <m:type m:val="lin"/>
            </m:fPr>
            <m:num>
              <m:r>
                <w:rPr>
                  <w:rFonts w:ascii="Cambria Math" w:hAnsi="Cambria Math"/>
                </w:rPr>
                <m:t xml:space="preserve">W</m:t>
              </m:r>
            </m:num>
            <m:den>
              <m:r>
                <w:rPr>
                  <w:rFonts w:ascii="Cambria Math" w:hAnsi="Cambria Math"/>
                </w:rPr>
                <m:t xml:space="preserve">m</m:t>
              </m:r>
            </m:den>
          </m:f>
          <m:r>
            <w:rPr>
              <w:rFonts w:ascii="Cambria Math" w:hAnsi="Cambria Math"/>
            </w:rPr>
            <m:t xml:space="preserve">²</m:t>
          </m:r>
        </m:oMath>
      </m:oMathPara>
    </w:p>
    <w:p>
      <w:pPr>
        <w:pStyle w:val="Normal"/>
        <w:jc w:val="center"/>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r>
      <w:r>
        <w:rPr>
          <w:rFonts w:ascii="Times New Roman" w:hAnsi="Times New Roman"/>
          <w:sz w:val="24"/>
          <w:szCs w:val="24"/>
        </w:rPr>
        <w:t xml:space="preserve">Par contre, le côté droit </w:t>
      </w:r>
      <w:r>
        <w:rPr>
          <w:rFonts w:ascii="Times New Roman" w:hAnsi="Times New Roman"/>
          <w:b/>
          <w:bCs/>
          <w:sz w:val="24"/>
          <w:szCs w:val="24"/>
        </w:rPr>
        <w:t xml:space="preserve">ne tient absolument pas compte de la répartition réelle </w:t>
      </w:r>
      <w:r>
        <w:rPr>
          <w:rFonts w:ascii="Times New Roman" w:hAnsi="Times New Roman"/>
          <w:sz w:val="24"/>
          <w:szCs w:val="24"/>
        </w:rPr>
        <w:t xml:space="preserve">du rayonnement entrant. Il se contente d’évaluer la </w:t>
      </w:r>
      <w:r>
        <w:rPr>
          <w:rFonts w:ascii="Times New Roman" w:hAnsi="Times New Roman"/>
          <w:b/>
          <w:bCs/>
          <w:sz w:val="24"/>
          <w:szCs w:val="24"/>
        </w:rPr>
        <w:t xml:space="preserve">totalité </w:t>
      </w:r>
      <w:r>
        <w:rPr>
          <w:rFonts w:ascii="Times New Roman" w:hAnsi="Times New Roman"/>
          <w:sz w:val="24"/>
          <w:szCs w:val="24"/>
        </w:rPr>
        <w:t xml:space="preserve">de ce rayonnement entrant, sans se préoccuper de savoir quelle est la surface réelle qui reçoit le dit rayonnement entrant. </w:t>
      </w:r>
      <w:r>
        <w:rPr>
          <w:rFonts w:ascii="Times New Roman" w:hAnsi="Times New Roman"/>
          <w:b/>
          <w:bCs/>
          <w:sz w:val="24"/>
          <w:szCs w:val="24"/>
        </w:rPr>
        <w:t>Cela ne rend pas ce calcul faux, mais par contre, c’est mathématiquement et physiquement très important, n’autorise pas à interpréter son résultat n’importe comment</w:t>
      </w:r>
      <w:r>
        <w:rPr>
          <w:rFonts w:ascii="Times New Roman" w:hAnsi="Times New Roman"/>
          <w:sz w:val="24"/>
          <w:szCs w:val="24"/>
        </w:rPr>
        <w:t xml:space="preserve">.   </w:t>
      </w:r>
    </w:p>
    <w:p>
      <w:pPr>
        <w:pStyle w:val="Normal"/>
        <w:jc w:val="both"/>
        <w:rPr>
          <w:sz w:val="24"/>
          <w:szCs w:val="24"/>
        </w:rPr>
      </w:pPr>
      <w:r>
        <w:rPr>
          <w:sz w:val="24"/>
          <w:szCs w:val="24"/>
        </w:rPr>
        <w:t xml:space="preserve">          </w:t>
      </w:r>
      <w:r>
        <w:rPr>
          <w:sz w:val="24"/>
          <w:szCs w:val="24"/>
        </w:rPr>
        <w:tab/>
      </w:r>
      <w:r>
        <w:rPr>
          <w:rFonts w:ascii="Times New Roman" w:hAnsi="Times New Roman"/>
          <w:sz w:val="24"/>
          <w:szCs w:val="24"/>
        </w:rPr>
        <w:t>Vu que le côté gauche correspond à la surface réelle qui émet vers le cosmos depuis le haut de l’atmosphère et que le côté droit</w:t>
      </w:r>
      <w:r>
        <w:rPr>
          <w:rFonts w:ascii="Times New Roman" w:hAnsi="Times New Roman"/>
          <w:b/>
          <w:bCs/>
          <w:sz w:val="24"/>
          <w:szCs w:val="24"/>
        </w:rPr>
        <w:t xml:space="preserve"> ne correspond pas </w:t>
      </w:r>
      <w:r>
        <w:rPr>
          <w:rFonts w:ascii="Times New Roman" w:hAnsi="Times New Roman"/>
          <w:sz w:val="24"/>
          <w:szCs w:val="24"/>
        </w:rPr>
        <w:t xml:space="preserve">à la surface réelle qui reçoit le rayonnement entrant, nous sommes en droit de conclure seulement que le résultat trouvé représente la température de rayonnement de l’ensemble du système terre-atmosphère, </w:t>
      </w:r>
      <w:r>
        <w:rPr>
          <w:rFonts w:ascii="Times New Roman" w:hAnsi="Times New Roman"/>
          <w:b/>
          <w:bCs/>
          <w:sz w:val="24"/>
          <w:szCs w:val="24"/>
        </w:rPr>
        <w:t>côté sortant</w:t>
      </w:r>
      <w:r>
        <w:rPr>
          <w:rFonts w:ascii="Times New Roman" w:hAnsi="Times New Roman"/>
          <w:sz w:val="24"/>
          <w:szCs w:val="24"/>
        </w:rPr>
        <w:t xml:space="preserve">, donc vu du cosmos. </w:t>
      </w:r>
      <w:r>
        <w:rPr>
          <w:rFonts w:ascii="Times New Roman" w:hAnsi="Times New Roman"/>
          <w:b/>
          <w:bCs/>
          <w:sz w:val="24"/>
          <w:szCs w:val="24"/>
        </w:rPr>
        <w:t>Nous ne pouvons par contre absolument rien conclure de similaire du côté entrant</w:t>
      </w:r>
      <w:r>
        <w:rPr>
          <w:rFonts w:ascii="Times New Roman" w:hAnsi="Times New Roman"/>
          <w:sz w:val="24"/>
          <w:szCs w:val="24"/>
        </w:rPr>
        <w:t xml:space="preserve">.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sz w:val="26"/>
          <w:szCs w:val="26"/>
        </w:rPr>
      </w:pPr>
      <w:r>
        <w:rPr>
          <w:rFonts w:ascii="Times New Roman" w:hAnsi="Times New Roman"/>
          <w:b/>
          <w:bCs/>
          <w:sz w:val="26"/>
          <w:szCs w:val="26"/>
        </w:rPr>
        <w:t>c) Conclusion :</w:t>
      </w:r>
    </w:p>
    <w:p>
      <w:pPr>
        <w:pStyle w:val="Normal"/>
        <w:jc w:val="both"/>
        <w:rPr>
          <w:rFonts w:ascii="Times New Roman" w:hAnsi="Times New Roman"/>
          <w:b/>
          <w:b/>
          <w:bCs/>
          <w:sz w:val="24"/>
          <w:szCs w:val="24"/>
        </w:rPr>
      </w:pPr>
      <w:r>
        <w:rPr>
          <w:rFonts w:ascii="Times New Roman" w:hAnsi="Times New Roman"/>
          <w:b/>
          <w:bCs/>
          <w:sz w:val="24"/>
          <w:szCs w:val="24"/>
        </w:rPr>
      </w:r>
    </w:p>
    <w:p>
      <w:pPr>
        <w:pStyle w:val="Normal"/>
        <w:jc w:val="both"/>
        <w:rPr>
          <w:sz w:val="24"/>
          <w:szCs w:val="24"/>
        </w:rPr>
      </w:pPr>
      <w:r>
        <w:rPr>
          <w:rFonts w:ascii="Times New Roman" w:hAnsi="Times New Roman"/>
          <w:sz w:val="24"/>
          <w:szCs w:val="24"/>
        </w:rPr>
        <w:tab/>
        <w:t>Le but de ce calcul était en principe au départ de trouver la température au sol, à l’interface entre le globe terrestre et son atmosphère, mais en l’absence d’atmosphère et de gaz à effet de serre. Est-ce bien ce que l’on a trouvé ?</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 xml:space="preserve">La réponse est extrêmement claire : </w:t>
      </w:r>
      <w:r>
        <w:rPr>
          <w:rFonts w:ascii="Times New Roman" w:hAnsi="Times New Roman"/>
          <w:b/>
          <w:bCs/>
          <w:sz w:val="24"/>
          <w:szCs w:val="24"/>
        </w:rPr>
        <w:t>la réponse est non, ce n’est pas du tout ce que l’on a trouvé</w:t>
      </w:r>
      <w:r>
        <w:rPr>
          <w:rFonts w:ascii="Times New Roman" w:hAnsi="Times New Roman"/>
          <w:sz w:val="24"/>
          <w:szCs w:val="24"/>
        </w:rPr>
        <w:t xml:space="preserve">. La raison en est très simple : tout le calcul a été fait non pas pour le sol, considéré, répétons-le, comme l’interface entre le globe terrestre et son atmosphère, mais pour le </w:t>
      </w:r>
      <w:r>
        <w:rPr>
          <w:rFonts w:ascii="Times New Roman" w:hAnsi="Times New Roman"/>
          <w:b/>
          <w:bCs/>
          <w:sz w:val="24"/>
          <w:szCs w:val="24"/>
        </w:rPr>
        <w:t>système terre-atmosphère tout entier</w:t>
      </w:r>
      <w:r>
        <w:rPr>
          <w:rFonts w:ascii="Times New Roman" w:hAnsi="Times New Roman"/>
          <w:sz w:val="24"/>
          <w:szCs w:val="24"/>
        </w:rPr>
        <w:t>. C’est ce que montre de la manière la plus claire, l’analyse des deux côtés de l’égalité qui a été utilisée. Il n’est question dans cette analyse que du système terre-atmosphère et jamais du sol.</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L’évidence s’impose, -18°C n’a rien à voir par conséquent avec la température qui règne au sol, avec ou sans atmosphère. -18°C ne représente pas cela, mais une sorte de température moyenne théorique de l’ensemble du système terre-atmosphère, comportant donc bel et bien une atmosphère ! En toute rigueur, -18°C représente la température « de rayonnement » du système terre-atmosphère, ou encore la température de l’équivalent corps noir de ce système. Cela signifie en gros - vraiment en gros, mais de façon tout à fait correcte – une sorte de température moyenne de l’ensemble, d’une épaisseur totale de 50 km environ, constitué de tout ce qui va du sol jusqu’en haut de la stratosphère y compris l’atmosphère, jusqu’à l’interface entre cet ensemble et le cosmos, interface que l’on voit sur la photo ci-dessus.</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 xml:space="preserve">Une autre interprétation possible, sans doute plus parlante mais parfaitement théorique, nous verrons pourquoi ci-dessous, est de considérer la température d’une sorte d’interface théorique, située en haut de l’atmosphère, interface dont parlent en effet les scientifiques en la désignant comme the top of atmosphère (TOA) et qui serait à une température très théorique de -18°C, correspondant en fait à la température moyenne du système terre-atmosphère. L’interface en question est même plus ou moins « matérialisée » sur la photo précédente. </w:t>
      </w:r>
      <w:r>
        <w:rPr>
          <w:rFonts w:ascii="Times New Roman" w:hAnsi="Times New Roman"/>
          <w:b/>
          <w:bCs/>
          <w:sz w:val="24"/>
          <w:szCs w:val="24"/>
        </w:rPr>
        <w:t>Elle n’a rien à voir avec le sol.</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Cette photo permet de schématiser ce qui se passe et de s’en faire une représentation afin de mieux l’appréhender. Mais ce schéma destiné à illustrer et à faire comprendre les phénomènes en jeu, doit néanmoins être relativisé. En effet, dans la réalité, le rayonnement sortant du système terre-atmosphère est issu de tous les étages de ce système, depuis le sol d’où part le rayonnement qui passe par la fenêtre atmosphérique, sans rencontrer d’obstacle dans l’atmosphère, jusqu’au rayonnement de l’ozone et, peut-être, du CO</w:t>
      </w:r>
      <w:r>
        <w:rPr>
          <w:rFonts w:ascii="Times New Roman" w:hAnsi="Times New Roman"/>
          <w:sz w:val="24"/>
          <w:szCs w:val="24"/>
          <w:vertAlign w:val="subscript"/>
        </w:rPr>
        <w:t>2</w:t>
      </w:r>
      <w:r>
        <w:rPr>
          <w:rFonts w:ascii="Times New Roman" w:hAnsi="Times New Roman"/>
          <w:sz w:val="24"/>
          <w:szCs w:val="24"/>
        </w:rPr>
        <w:t>, qui partent de la stratosphère, en passant par le rayonnement des GES dans le continuum de la vapeur d’eau, à tous les étages de l’atmosphère jusqu’au rayonnement des GES là où il est maximum, en tout cas pour ce qui concerne H</w:t>
      </w:r>
      <w:r>
        <w:rPr>
          <w:rFonts w:ascii="Times New Roman" w:hAnsi="Times New Roman"/>
          <w:sz w:val="24"/>
          <w:szCs w:val="24"/>
          <w:vertAlign w:val="subscript"/>
        </w:rPr>
        <w:t>2</w:t>
      </w:r>
      <w:r>
        <w:rPr>
          <w:rFonts w:ascii="Times New Roman" w:hAnsi="Times New Roman"/>
          <w:sz w:val="24"/>
          <w:szCs w:val="24"/>
        </w:rPr>
        <w:t>O, c’est à dire vers la tropopause. Une telle interface théorique a donc, et c’est bien normal, été créée au cours des études sur le climat et a été nommée TOA. Il ne faut cependant pas oublier son caractère complètement théorique étant donné ce qui vient d’être dit sur les origines du rayonnement sortant, tout en admettant que schématiquement, cette interprétation par une interface située en haut de l’atmosphère peut aider à raisonner. -18°C peut être considéré dans ces conditions comme la température de cette interface. Par contre -18°C ne peut absolument pas s’interpréter comme la température au sol, situé bien plus bas.</w:t>
      </w:r>
    </w:p>
    <w:p>
      <w:pPr>
        <w:pStyle w:val="Normal"/>
        <w:jc w:val="both"/>
        <w:rPr>
          <w:sz w:val="24"/>
          <w:szCs w:val="24"/>
        </w:rPr>
      </w:pPr>
      <w:r>
        <w:rPr>
          <w:rFonts w:ascii="Times New Roman" w:hAnsi="Times New Roman"/>
          <w:sz w:val="24"/>
          <w:szCs w:val="24"/>
        </w:rPr>
        <w:br/>
        <w:tab/>
        <w:t>La température au sol peut, pour le système terre-atmosphère tout entier être considérée comme sa température maximum. -18°C ne saurait par contre être considérée comme la température maximum de ce système, puisque celui-ci rayonne à divers étages, à des températures variant de 15°C</w:t>
      </w:r>
      <w:r>
        <w:rPr>
          <w:rFonts w:ascii="Times New Roman" w:hAnsi="Times New Roman"/>
          <w:color w:val="000000"/>
          <w:sz w:val="24"/>
          <w:szCs w:val="24"/>
        </w:rPr>
        <w:t xml:space="preserve"> (en réalité de +30°C à -30°C selon la latitude et la saison)  </w:t>
      </w:r>
      <w:r>
        <w:rPr>
          <w:rFonts w:ascii="Times New Roman" w:hAnsi="Times New Roman"/>
          <w:sz w:val="24"/>
          <w:szCs w:val="24"/>
        </w:rPr>
        <w:t>en bas à -60°C en haut.</w:t>
      </w:r>
    </w:p>
    <w:p>
      <w:pPr>
        <w:pStyle w:val="Normal"/>
        <w:jc w:val="both"/>
        <w:rPr>
          <w:sz w:val="24"/>
          <w:szCs w:val="24"/>
        </w:rPr>
      </w:pPr>
      <w:r>
        <w:rPr>
          <w:rFonts w:ascii="Times New Roman" w:hAnsi="Times New Roman"/>
          <w:sz w:val="24"/>
          <w:szCs w:val="24"/>
        </w:rPr>
        <w:br/>
        <w:tab/>
        <w:t>Nous constatons donc que l’affirmation comme quoi il ferait -18°C au sol sans gaz à effet de serre implique une confusion entre une température moyenne intermédiaire, définie comme la température de rayonnement de tout le système, et la température maximum de ce même système.</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 xml:space="preserve">  </w:t>
      </w:r>
    </w:p>
    <w:p>
      <w:pPr>
        <w:pStyle w:val="Normal"/>
        <w:jc w:val="both"/>
        <w:rPr>
          <w:sz w:val="24"/>
          <w:szCs w:val="24"/>
        </w:rPr>
      </w:pPr>
      <w:r>
        <w:rPr>
          <w:rFonts w:ascii="Times New Roman" w:hAnsi="Times New Roman"/>
          <w:b/>
          <w:bCs/>
          <w:sz w:val="24"/>
          <w:szCs w:val="24"/>
        </w:rPr>
        <w:t>Conclusion </w:t>
      </w:r>
      <w:r>
        <w:rPr>
          <w:rFonts w:ascii="Times New Roman" w:hAnsi="Times New Roman"/>
          <w:sz w:val="24"/>
          <w:szCs w:val="24"/>
        </w:rPr>
        <w:t>:</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 xml:space="preserve"> «  Affirmer que l’effet de serre constitue un effet bien compris, reposant sur des bases scientifiques solides et établies » est synonyme de procéder à cinq erreurs mathématiques et logiques, rappelées ci-dessous :</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1) L’erreur de l’enseignant.</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 xml:space="preserve">2) L’erreur surfacique.                                                                                            </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3) L’erreur signalée par Gerlich.</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4) La confusion entre une valeur moyenne et une valeur maximum.</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sz w:val="24"/>
          <w:szCs w:val="24"/>
        </w:rPr>
      </w:pPr>
      <w:r>
        <w:rPr>
          <w:rFonts w:ascii="Times New Roman" w:hAnsi="Times New Roman"/>
          <w:sz w:val="24"/>
          <w:szCs w:val="24"/>
        </w:rPr>
        <w:tab/>
        <w:t>5) Un raisonnement sur une chimère: une terre sans nuages, mais néanmoins avec un albédo de 0,3.</w:t>
      </w:r>
    </w:p>
    <w:p>
      <w:pPr>
        <w:pStyle w:val="Normal"/>
        <w:jc w:val="both"/>
        <w:rPr>
          <w:sz w:val="24"/>
          <w:szCs w:val="24"/>
        </w:rPr>
      </w:pPr>
      <w:r>
        <w:rPr>
          <w:rFonts w:ascii="Times New Roman" w:hAnsi="Times New Roman"/>
          <w:sz w:val="24"/>
          <w:szCs w:val="24"/>
        </w:rPr>
        <w:t xml:space="preserve">                           </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4"/>
          <w:szCs w:val="24"/>
        </w:rPr>
      </w:pPr>
      <w:r>
        <w:rPr>
          <w:rFonts w:ascii="Times New Roman" w:hAnsi="Times New Roman"/>
          <w:sz w:val="24"/>
          <w:szCs w:val="24"/>
        </w:rPr>
      </w:r>
    </w:p>
    <w:p>
      <w:pPr>
        <w:pStyle w:val="Normal"/>
        <w:ind w:left="720" w:hanging="0"/>
        <w:jc w:val="both"/>
        <w:rPr>
          <w:rFonts w:ascii="Times New Roman" w:hAnsi="Times New Roman"/>
          <w:sz w:val="24"/>
          <w:szCs w:val="24"/>
        </w:rPr>
      </w:pPr>
      <w:r>
        <w:rPr>
          <w:rFonts w:ascii="Times New Roman" w:hAnsi="Times New Roman"/>
          <w:sz w:val="24"/>
          <w:szCs w:val="24"/>
        </w:rPr>
      </w:r>
    </w:p>
    <w:p>
      <w:pPr>
        <w:pStyle w:val="Normal"/>
        <w:ind w:left="720" w:hanging="0"/>
        <w:jc w:val="both"/>
        <w:rPr>
          <w:rFonts w:ascii="Times New Roman" w:hAnsi="Times New Roman"/>
          <w:sz w:val="24"/>
          <w:szCs w:val="24"/>
        </w:rPr>
      </w:pPr>
      <w:r>
        <w:rPr>
          <w:rFonts w:ascii="Times New Roman" w:hAnsi="Times New Roman"/>
          <w:sz w:val="24"/>
          <w:szCs w:val="24"/>
        </w:rPr>
      </w:r>
    </w:p>
    <w:p>
      <w:pPr>
        <w:pStyle w:val="Normal"/>
        <w:ind w:left="720" w:hanging="0"/>
        <w:jc w:val="both"/>
        <w:rPr>
          <w:sz w:val="24"/>
          <w:szCs w:val="24"/>
        </w:rPr>
      </w:pPr>
      <w:r>
        <w:rPr>
          <w:rFonts w:ascii="Times New Roman" w:hAnsi="Times New Roman"/>
          <w:sz w:val="24"/>
          <w:szCs w:val="24"/>
        </w:rPr>
        <w:t>Nous nous abstiendrons ici de tout commentaire.</w:t>
      </w:r>
    </w:p>
    <w:p>
      <w:pPr>
        <w:pStyle w:val="Normal"/>
        <w:ind w:left="720" w:hanging="0"/>
        <w:jc w:val="both"/>
        <w:rPr/>
      </w:pPr>
      <w:r>
        <w:rPr/>
        <w:br/>
        <w:br/>
      </w:r>
    </w:p>
    <w:p>
      <w:pPr>
        <w:pStyle w:val="Normal"/>
        <w:jc w:val="both"/>
        <w:rPr/>
      </w:pPr>
      <w:r>
        <w:rPr/>
      </w:r>
    </w:p>
    <w:p>
      <w:pPr>
        <w:pStyle w:val="Normal"/>
        <w:jc w:val="both"/>
        <w:rPr/>
      </w:pPr>
      <w:r>
        <w:rPr/>
        <w:t xml:space="preserve">                  </w:t>
      </w:r>
    </w:p>
    <w:p>
      <w:pPr>
        <w:pStyle w:val="Normal"/>
        <w:jc w:val="both"/>
        <w:rPr/>
      </w:pPr>
      <w:r>
        <w:rPr/>
      </w:r>
    </w:p>
    <w:p>
      <w:pPr>
        <w:pStyle w:val="Texteprformat"/>
        <w:jc w:val="both"/>
        <w:rPr>
          <w:rFonts w:ascii="Liberation Serif" w:hAnsi="Liberation Serif" w:eastAsia="Noto Serif CJK SC" w:cs="Lohit Devanagari"/>
          <w:sz w:val="24"/>
          <w:szCs w:val="24"/>
        </w:rPr>
      </w:pPr>
      <w:r>
        <w:rPr>
          <w:rFonts w:eastAsia="Noto Serif CJK SC" w:cs="Lohit Devanagari" w:ascii="Liberation Serif" w:hAnsi="Liberation Serif"/>
          <w:sz w:val="24"/>
          <w:szCs w:val="24"/>
        </w:rPr>
      </w:r>
    </w:p>
    <w:p>
      <w:pPr>
        <w:pStyle w:val="Texteprformat"/>
        <w:jc w:val="both"/>
        <w:rPr>
          <w:rFonts w:ascii="Liberation Serif" w:hAnsi="Liberation Serif" w:eastAsia="Noto Serif CJK SC" w:cs="Lohit Devanagari"/>
          <w:sz w:val="24"/>
          <w:szCs w:val="24"/>
        </w:rPr>
      </w:pPr>
      <w:r>
        <w:rPr>
          <w:rFonts w:eastAsia="Noto Serif CJK SC" w:cs="Lohit Devanagari" w:ascii="Liberation Serif" w:hAnsi="Liberation Serif"/>
          <w:sz w:val="24"/>
          <w:szCs w:val="24"/>
        </w:rPr>
      </w:r>
    </w:p>
    <w:p>
      <w:pPr>
        <w:pStyle w:val="Texteprformat"/>
        <w:jc w:val="both"/>
        <w:rPr>
          <w:rFonts w:ascii="Liberation Serif" w:hAnsi="Liberation Serif" w:eastAsia="Noto Serif CJK SC" w:cs="Lohit Devanagari"/>
          <w:sz w:val="24"/>
          <w:szCs w:val="24"/>
        </w:rPr>
      </w:pPr>
      <w:r>
        <w:rPr>
          <w:rFonts w:eastAsia="Noto Serif CJK SC" w:cs="Lohit Devanagari" w:ascii="Liberation Serif" w:hAnsi="Liberation Serif"/>
          <w:sz w:val="24"/>
          <w:szCs w:val="24"/>
        </w:rPr>
      </w:r>
    </w:p>
    <w:p>
      <w:pPr>
        <w:pStyle w:val="Texteprformat"/>
        <w:jc w:val="both"/>
        <w:rPr>
          <w:rFonts w:ascii="Liberation Serif" w:hAnsi="Liberation Serif" w:eastAsia="Noto Serif CJK SC" w:cs="Lohit Devanagari"/>
          <w:sz w:val="24"/>
          <w:szCs w:val="24"/>
        </w:rPr>
      </w:pPr>
      <w:r>
        <w:rPr>
          <w:rFonts w:eastAsia="Noto Serif CJK SC" w:cs="Lohit Devanagari" w:ascii="Liberation Serif" w:hAnsi="Liberation Serif"/>
          <w:sz w:val="24"/>
          <w:szCs w:val="24"/>
        </w:rPr>
      </w:r>
    </w:p>
    <w:p>
      <w:pPr>
        <w:pStyle w:val="Texteprformat"/>
        <w:jc w:val="both"/>
        <w:rPr>
          <w:rFonts w:ascii="Liberation Serif" w:hAnsi="Liberation Serif" w:eastAsia="Noto Serif CJK SC" w:cs="Lohit Devanagari"/>
          <w:sz w:val="24"/>
          <w:szCs w:val="24"/>
        </w:rPr>
      </w:pPr>
      <w:r>
        <w:rPr>
          <w:rFonts w:eastAsia="Noto Serif CJK SC" w:cs="Lohit Devanagari" w:ascii="Liberation Serif" w:hAnsi="Liberation Serif"/>
          <w:sz w:val="24"/>
          <w:szCs w:val="24"/>
        </w:rPr>
      </w:r>
    </w:p>
    <w:p>
      <w:pPr>
        <w:pStyle w:val="Texteprformat"/>
        <w:jc w:val="both"/>
        <w:rPr>
          <w:rFonts w:ascii="Times New Roman" w:hAnsi="Times New Roman" w:eastAsia="Noto Serif CJK SC" w:cs="Lohit Devanagari"/>
          <w:b/>
          <w:b/>
          <w:bCs/>
          <w:sz w:val="30"/>
          <w:szCs w:val="30"/>
        </w:rPr>
      </w:pPr>
      <w:r>
        <w:rPr>
          <w:rFonts w:eastAsia="Noto Serif CJK SC" w:cs="Lohit Devanagari" w:ascii="Times New Roman" w:hAnsi="Times New Roman"/>
          <w:b/>
          <w:bCs/>
          <w:sz w:val="30"/>
          <w:szCs w:val="30"/>
        </w:rPr>
      </w:r>
    </w:p>
    <w:p>
      <w:pPr>
        <w:pStyle w:val="Texteprformat"/>
        <w:jc w:val="both"/>
        <w:rPr>
          <w:rFonts w:ascii="Times New Roman" w:hAnsi="Times New Roman" w:eastAsia="Noto Serif CJK SC" w:cs="Lohit Devanagari"/>
          <w:b/>
          <w:b/>
          <w:bCs/>
          <w:sz w:val="30"/>
          <w:szCs w:val="30"/>
        </w:rPr>
      </w:pPr>
      <w:r>
        <w:rPr>
          <w:rFonts w:eastAsia="Noto Serif CJK SC" w:cs="Lohit Devanagari" w:ascii="Times New Roman" w:hAnsi="Times New Roman"/>
          <w:b/>
          <w:bCs/>
          <w:sz w:val="30"/>
          <w:szCs w:val="30"/>
        </w:rPr>
      </w:r>
    </w:p>
    <w:p>
      <w:pPr>
        <w:pStyle w:val="Texteprformat"/>
        <w:jc w:val="both"/>
        <w:rPr>
          <w:rFonts w:ascii="Times New Roman" w:hAnsi="Times New Roman" w:eastAsia="Noto Serif CJK SC" w:cs="Lohit Devanagari"/>
          <w:b/>
          <w:b/>
          <w:bCs/>
          <w:sz w:val="30"/>
          <w:szCs w:val="30"/>
        </w:rPr>
      </w:pPr>
      <w:r>
        <w:rPr>
          <w:rFonts w:eastAsia="Noto Serif CJK SC" w:cs="Lohit Devanagari" w:ascii="Times New Roman" w:hAnsi="Times New Roman"/>
          <w:b/>
          <w:bCs/>
          <w:sz w:val="30"/>
          <w:szCs w:val="30"/>
        </w:rPr>
      </w:r>
    </w:p>
    <w:p>
      <w:pPr>
        <w:pStyle w:val="Texteprformat"/>
        <w:jc w:val="both"/>
        <w:rPr>
          <w:rFonts w:ascii="Times New Roman" w:hAnsi="Times New Roman" w:eastAsia="Noto Serif CJK SC" w:cs="Lohit Devanagari"/>
          <w:b/>
          <w:b/>
          <w:bCs/>
          <w:sz w:val="30"/>
          <w:szCs w:val="30"/>
        </w:rPr>
      </w:pPr>
      <w:bookmarkStart w:id="1" w:name="tw-target-text-container"/>
      <w:bookmarkStart w:id="2" w:name="tw-target-text1"/>
      <w:bookmarkEnd w:id="1"/>
      <w:bookmarkEnd w:id="2"/>
      <w:r>
        <w:rPr>
          <w:rFonts w:eastAsia="Noto Serif CJK SC" w:cs="Lohit Devanagari" w:ascii="Times New Roman" w:hAnsi="Times New Roman"/>
          <w:b/>
          <w:bCs/>
          <w:sz w:val="30"/>
          <w:szCs w:val="30"/>
        </w:rPr>
        <w:t>3 - Le seul calcul correct possible, côté entrant, qui puisse tenter d’évaluer la température au sol</w:t>
      </w:r>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Texteprformat"/>
        <w:rPr/>
      </w:pPr>
      <w:r>
        <w:rPr/>
      </w:r>
    </w:p>
    <w:p>
      <w:pPr>
        <w:pStyle w:val="Texteprformat"/>
        <w:jc w:val="both"/>
        <w:rPr/>
      </w:pPr>
      <w:r>
        <w:rPr/>
        <w:tab/>
      </w:r>
    </w:p>
    <w:p>
      <w:pPr>
        <w:pStyle w:val="Texteprformat"/>
        <w:jc w:val="both"/>
        <w:rPr>
          <w:rFonts w:ascii="Times New Roman" w:hAnsi="Times New Roman"/>
          <w:b/>
          <w:b/>
          <w:bCs/>
          <w:sz w:val="26"/>
          <w:szCs w:val="26"/>
        </w:rPr>
      </w:pPr>
      <w:r>
        <w:rPr>
          <w:rFonts w:ascii="Times New Roman" w:hAnsi="Times New Roman"/>
          <w:b/>
          <w:bCs/>
          <w:sz w:val="26"/>
          <w:szCs w:val="26"/>
        </w:rPr>
        <w:t xml:space="preserve">3-1 Le calcul de Gerlich et Tscheuschner :                                                                                                           </w:t>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pPr>
      <w:r>
        <w:rPr>
          <w:rFonts w:ascii="Times New Roman" w:hAnsi="Times New Roman"/>
          <w:sz w:val="22"/>
          <w:szCs w:val="22"/>
        </w:rPr>
        <w:tab/>
        <w:t>Nous exposons dans ce paragraphe le seul calcul correct qui puisse être fait concernant la température qui règne sur le sol terrestre. Ce calcul s'inspire et complète celui effectué par les deux physiciens de l'université de Hambourg, Gerlich et Tscheuschner en 2009.</w:t>
      </w:r>
    </w:p>
    <w:p>
      <w:pPr>
        <w:pStyle w:val="Texteprformat"/>
        <w:jc w:val="both"/>
        <w:rPr>
          <w:rFonts w:ascii="Times New Roman" w:hAnsi="Times New Roman"/>
          <w:sz w:val="22"/>
          <w:szCs w:val="22"/>
        </w:rPr>
      </w:pPr>
      <w:r>
        <w:rPr>
          <w:rFonts w:ascii="Times New Roman" w:hAnsi="Times New Roman"/>
          <w:sz w:val="22"/>
          <w:szCs w:val="22"/>
        </w:rPr>
      </w:r>
    </w:p>
    <w:p>
      <w:pPr>
        <w:pStyle w:val="Texteprformat"/>
        <w:spacing w:before="0" w:after="283"/>
        <w:jc w:val="both"/>
        <w:rPr/>
      </w:pPr>
      <w:r>
        <w:rPr>
          <w:rFonts w:ascii="Times New Roman" w:hAnsi="Times New Roman"/>
          <w:sz w:val="22"/>
          <w:szCs w:val="22"/>
        </w:rPr>
        <w:tab/>
        <w:t>Il est dommage que leur calcul, pourtant parfaitement précis, se soit terminé, en ce qui concerne l'interprétation du résultat trouvé, un peu en "queue de poisson". Gerlich et Tscheuschner ont réalisé le côté apparemment extravagant de leur résultat. Mais ils n'ont pas réussi à mettre le doigt sur la bonne interprétation qu'il fallait en tirer, comme le montre ce passage de leur article, (paragraphe 3-7-5 Inexistence de l'effet de serre naturel) :</w:t>
      </w:r>
      <w:bookmarkStart w:id="3" w:name="tw-target-rmn"/>
      <w:bookmarkEnd w:id="3"/>
      <w:r>
        <w:rPr/>
        <w:t xml:space="preserve">          </w:t>
      </w:r>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Normal"/>
        <w:jc w:val="both"/>
        <w:rPr/>
      </w:pPr>
      <w:bookmarkStart w:id="4" w:name="tw-target"/>
      <w:bookmarkEnd w:id="4"/>
      <w:r>
        <w:drawing>
          <wp:anchor behindDoc="0" distT="0" distB="0" distL="0" distR="0" simplePos="0" locked="0" layoutInCell="0" allowOverlap="1" relativeHeight="20">
            <wp:simplePos x="0" y="0"/>
            <wp:positionH relativeFrom="column">
              <wp:posOffset>459740</wp:posOffset>
            </wp:positionH>
            <wp:positionV relativeFrom="paragraph">
              <wp:posOffset>23495</wp:posOffset>
            </wp:positionV>
            <wp:extent cx="5200650" cy="1224280"/>
            <wp:effectExtent l="0" t="0" r="0" b="0"/>
            <wp:wrapSquare wrapText="largest"/>
            <wp:docPr id="22"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4" descr=""/>
                    <pic:cNvPicPr>
                      <a:picLocks noChangeAspect="1" noChangeArrowheads="1"/>
                    </pic:cNvPicPr>
                  </pic:nvPicPr>
                  <pic:blipFill>
                    <a:blip r:embed="rId12"/>
                    <a:stretch>
                      <a:fillRect/>
                    </a:stretch>
                  </pic:blipFill>
                  <pic:spPr bwMode="auto">
                    <a:xfrm>
                      <a:off x="0" y="0"/>
                      <a:ext cx="5200650" cy="1224280"/>
                    </a:xfrm>
                    <a:prstGeom prst="rect">
                      <a:avLst/>
                    </a:prstGeom>
                    <a:ln w="635">
                      <a:solidFill>
                        <a:srgbClr val="000000"/>
                      </a:solidFill>
                    </a:ln>
                  </pic:spPr>
                </pic:pic>
              </a:graphicData>
            </a:graphic>
          </wp:anchor>
        </w:drawing>
      </w:r>
      <w:r>
        <w:rPr/>
        <w:t xml:space="preserve">   </w:t>
      </w:r>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Normal"/>
        <w:rPr/>
      </w:pPr>
      <w:r>
        <w:rPr/>
      </w:r>
      <w:bookmarkStart w:id="5" w:name="kAz1tf"/>
      <w:bookmarkStart w:id="6" w:name="kAz1tf"/>
      <w:bookmarkEnd w:id="6"/>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Texteprformat"/>
        <w:jc w:val="both"/>
        <w:rPr>
          <w:rFonts w:ascii="Times New Roman" w:hAnsi="Times New Roman"/>
          <w:sz w:val="22"/>
          <w:szCs w:val="22"/>
        </w:rPr>
      </w:pPr>
      <w:bookmarkStart w:id="7" w:name="tw-target-text-container1"/>
      <w:bookmarkStart w:id="8" w:name="tw-target-text2"/>
      <w:bookmarkEnd w:id="7"/>
      <w:bookmarkEnd w:id="8"/>
      <w:r>
        <w:rPr>
          <w:rFonts w:ascii="Times New Roman" w:hAnsi="Times New Roman"/>
          <w:sz w:val="22"/>
          <w:szCs w:val="22"/>
        </w:rPr>
        <w:tab/>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r>
    </w:p>
    <w:p>
      <w:pPr>
        <w:pStyle w:val="Texteprformat"/>
        <w:jc w:val="both"/>
        <w:rPr>
          <w:rFonts w:ascii="Times New Roman" w:hAnsi="Times New Roman"/>
          <w:sz w:val="22"/>
          <w:szCs w:val="22"/>
        </w:rPr>
      </w:pPr>
      <w:r>
        <w:rPr>
          <w:rFonts w:ascii="Times New Roman" w:hAnsi="Times New Roman"/>
          <w:sz w:val="22"/>
          <w:szCs w:val="22"/>
        </w:rPr>
        <w:tab/>
        <w:t>En réalité, la moyenne de -129 °C calculée par Gerlich et Tscheuschner est une moyenne qui n'est fausse qu'en apparence. Une erreur assez classique dans les calculs de moyenne consiste à remplacer des valeurs absentes par des valeurs nulles, ce qui donne généralement des résultats aberrants.</w:t>
      </w:r>
    </w:p>
    <w:p>
      <w:pPr>
        <w:pStyle w:val="Texteprformat"/>
        <w:jc w:val="both"/>
        <w:rPr>
          <w:rFonts w:ascii="Times New Roman" w:hAnsi="Times New Roman"/>
          <w:sz w:val="22"/>
          <w:szCs w:val="22"/>
        </w:rPr>
      </w:pPr>
      <w:r>
        <w:rPr>
          <w:rFonts w:ascii="Times New Roman" w:hAnsi="Times New Roman"/>
          <w:sz w:val="22"/>
          <w:szCs w:val="22"/>
        </w:rPr>
      </w:r>
    </w:p>
    <w:p>
      <w:pPr>
        <w:pStyle w:val="Texteprformat"/>
        <w:spacing w:before="0" w:after="283"/>
        <w:jc w:val="both"/>
        <w:rPr>
          <w:rFonts w:ascii="Times New Roman" w:hAnsi="Times New Roman"/>
          <w:sz w:val="22"/>
          <w:szCs w:val="22"/>
        </w:rPr>
      </w:pPr>
      <w:r>
        <w:rPr>
          <w:rFonts w:ascii="Times New Roman" w:hAnsi="Times New Roman"/>
          <w:sz w:val="22"/>
          <w:szCs w:val="22"/>
        </w:rPr>
        <w:tab/>
        <w:t xml:space="preserve">Mais ici, </w:t>
      </w:r>
      <w:r>
        <w:rPr>
          <w:rFonts w:ascii="Times New Roman" w:hAnsi="Times New Roman"/>
          <w:b/>
          <w:bCs/>
          <w:sz w:val="22"/>
          <w:szCs w:val="22"/>
        </w:rPr>
        <w:t>à condition d'interpréter correctement le résultat trouvé,</w:t>
      </w:r>
      <w:r>
        <w:rPr>
          <w:rFonts w:ascii="Times New Roman" w:hAnsi="Times New Roman"/>
          <w:sz w:val="22"/>
          <w:szCs w:val="22"/>
        </w:rPr>
        <w:t xml:space="preserve"> il n'y a pas d'erreur.</w:t>
      </w:r>
    </w:p>
    <w:p>
      <w:pPr>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pPr>
    </w:p>
    <w:p>
      <w:pPr>
        <w:pStyle w:val="Normal"/>
        <w:jc w:val="both"/>
        <w:rPr/>
      </w:pPr>
      <w:r>
        <w:rPr/>
        <w:tab/>
      </w:r>
      <w:r>
        <w:rPr>
          <w:rFonts w:ascii="Times New Roman" w:hAnsi="Times New Roman"/>
          <w:sz w:val="22"/>
          <w:szCs w:val="22"/>
        </w:rPr>
        <w:t>L’extrait ci-dessous montre que Gerlich et Tscheuschner ont pris une température égale à 0 pour le côté nuit du globe. S’ils ont pris 0 comme température côté nuit, c’est qu’ils ont appliqué la loi de Stefan-Boltzmann P = σ T</w:t>
      </w:r>
      <w:r>
        <w:rPr>
          <w:rFonts w:ascii="Times New Roman" w:hAnsi="Times New Roman"/>
          <w:sz w:val="22"/>
          <w:szCs w:val="22"/>
          <w:vertAlign w:val="superscript"/>
        </w:rPr>
        <w:t>4</w:t>
      </w:r>
      <w:r>
        <w:rPr>
          <w:rFonts w:ascii="Times New Roman" w:hAnsi="Times New Roman"/>
          <w:sz w:val="22"/>
          <w:szCs w:val="22"/>
        </w:rPr>
        <w:t xml:space="preserve"> avec P = 0. Or du côté nuit, il n’y a pas de rayonnement. Donc remplacer P par 0 n’est pas du tout faux en soi parce qu’un rayonnement absent peut tout à fait être considéré comme nul. Cela conduit, il est vrai, à appliquer une formule qui, elle, ne peut être que fausse pour la </w:t>
      </w:r>
      <w:r>
        <w:rPr>
          <w:rFonts w:ascii="Times New Roman" w:hAnsi="Times New Roman"/>
          <w:b/>
          <w:bCs/>
          <w:sz w:val="22"/>
          <w:szCs w:val="22"/>
        </w:rPr>
        <w:t>température réelle.</w:t>
      </w:r>
      <w:r>
        <w:rPr>
          <w:rFonts w:ascii="Times New Roman" w:hAnsi="Times New Roman"/>
          <w:sz w:val="22"/>
          <w:szCs w:val="22"/>
        </w:rPr>
        <w:t xml:space="preserve"> La température réelle n’est en effet pas nulle du côté nuit du globe, même si ce globe est, par exemple, la Lune.</w:t>
      </w:r>
    </w:p>
    <w:p>
      <w:pPr>
        <w:pStyle w:val="Normal"/>
        <w:jc w:val="both"/>
        <w:rPr>
          <w:rFonts w:ascii="Times New Roman" w:hAnsi="Times New Roman"/>
          <w:sz w:val="22"/>
          <w:szCs w:val="22"/>
        </w:rPr>
      </w:pPr>
      <w:r>
        <w:rPr>
          <w:rFonts w:ascii="Times New Roman" w:hAnsi="Times New Roman"/>
          <w:sz w:val="22"/>
          <w:szCs w:val="22"/>
        </w:rPr>
        <w:br/>
        <w:tab/>
        <w:t xml:space="preserve">Mais, ce qu’il convient de bien comprendre, c’est que le résultat trouvé </w:t>
      </w:r>
      <w:r>
        <w:rPr>
          <w:rFonts w:ascii="Times New Roman" w:hAnsi="Times New Roman"/>
          <w:b/>
          <w:bCs/>
          <w:sz w:val="22"/>
          <w:szCs w:val="22"/>
        </w:rPr>
        <w:t>n’est justement pas la température réelle.</w:t>
      </w:r>
      <w:r>
        <w:rPr>
          <w:rFonts w:ascii="Times New Roman" w:hAnsi="Times New Roman"/>
          <w:sz w:val="22"/>
          <w:szCs w:val="22"/>
        </w:rPr>
        <w:t xml:space="preserve"> Par contre, c’est une température tout de même, que l’on peut appeler très correctement</w:t>
      </w:r>
      <w:r>
        <w:rPr>
          <w:rFonts w:ascii="Times New Roman" w:hAnsi="Times New Roman"/>
          <w:b/>
          <w:bCs/>
          <w:sz w:val="22"/>
          <w:szCs w:val="22"/>
        </w:rPr>
        <w:t xml:space="preserve"> la température qui résulte de la seule action du soleil</w:t>
      </w:r>
      <w:r>
        <w:rPr>
          <w:rFonts w:ascii="Times New Roman" w:hAnsi="Times New Roman"/>
          <w:sz w:val="22"/>
          <w:szCs w:val="22"/>
        </w:rPr>
        <w:t xml:space="preserve">. </w:t>
      </w:r>
    </w:p>
    <w:p>
      <w:pPr>
        <w:pStyle w:val="Normal"/>
        <w:jc w:val="both"/>
        <w:rPr>
          <w:rFonts w:ascii="Times New Roman" w:hAnsi="Times New Roman"/>
          <w:sz w:val="22"/>
          <w:szCs w:val="22"/>
        </w:rPr>
      </w:pPr>
      <w:r>
        <w:rPr>
          <w:rFonts w:ascii="Times New Roman" w:hAnsi="Times New Roman"/>
          <w:sz w:val="22"/>
          <w:szCs w:val="22"/>
        </w:rPr>
        <w:br/>
        <w:tab/>
        <w:t>Autrement dit, il y a à considérer et à bien distinguer deux notions, celles de température réelle et celle de température résultant de la seule action du soleil. La température réelle dépend non seulement de l’action du soleil, mais aussi, entre autres, de l’inertie thermique des océans Ces deux notions ne doivent donc pas se confondre. Elles peuvent ou non coïncider entre elles. Nous dégagerons plus loin dans quels cas elles coïncident et dans quels cas elles n’ont plus rien à voir l’une avec l’autre.</w:t>
      </w:r>
    </w:p>
    <w:p>
      <w:pPr>
        <w:pStyle w:val="Normal"/>
        <w:jc w:val="both"/>
        <w:rPr>
          <w:rFonts w:ascii="Times New Roman" w:hAnsi="Times New Roman"/>
          <w:sz w:val="22"/>
          <w:szCs w:val="22"/>
        </w:rPr>
      </w:pPr>
      <w:r>
        <w:rPr>
          <w:rFonts w:ascii="Times New Roman" w:hAnsi="Times New Roman"/>
          <w:sz w:val="22"/>
          <w:szCs w:val="22"/>
        </w:rPr>
        <w:br/>
        <w:tab/>
        <w:t>Voici l’extrait de l’article de Gerlich et Tscheuschner, qui introduit leur calcul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t xml:space="preserve">                            </w:t>
      </w:r>
      <w:r>
        <w:drawing>
          <wp:anchor behindDoc="0" distT="0" distB="0" distL="0" distR="0" simplePos="0" locked="0" layoutInCell="0" allowOverlap="1" relativeHeight="26">
            <wp:simplePos x="0" y="0"/>
            <wp:positionH relativeFrom="column">
              <wp:posOffset>85725</wp:posOffset>
            </wp:positionH>
            <wp:positionV relativeFrom="paragraph">
              <wp:posOffset>67945</wp:posOffset>
            </wp:positionV>
            <wp:extent cx="6120130" cy="3780790"/>
            <wp:effectExtent l="0" t="0" r="0" b="0"/>
            <wp:wrapSquare wrapText="largest"/>
            <wp:docPr id="23"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2" descr=""/>
                    <pic:cNvPicPr>
                      <a:picLocks noChangeAspect="1" noChangeArrowheads="1"/>
                    </pic:cNvPicPr>
                  </pic:nvPicPr>
                  <pic:blipFill>
                    <a:blip r:embed="rId13"/>
                    <a:stretch>
                      <a:fillRect/>
                    </a:stretch>
                  </pic:blipFill>
                  <pic:spPr bwMode="auto">
                    <a:xfrm>
                      <a:off x="0" y="0"/>
                      <a:ext cx="6120130" cy="3780790"/>
                    </a:xfrm>
                    <a:prstGeom prst="rect">
                      <a:avLst/>
                    </a:prstGeom>
                  </pic:spPr>
                </pic:pic>
              </a:graphicData>
            </a:graphic>
          </wp:anchor>
        </w:drawing>
      </w:r>
      <w:r>
        <w:rPr>
          <w:rFonts w:ascii="Times New Roman" w:hAnsi="Times New Roman"/>
          <w:sz w:val="22"/>
          <w:szCs w:val="22"/>
        </w:rPr>
        <w:t xml:space="preserve">                           </w:t>
      </w:r>
    </w:p>
    <w:p>
      <w:pPr>
        <w:pStyle w:val="Normal"/>
        <w:rPr>
          <w:rFonts w:ascii="Times New Roman" w:hAnsi="Times New Roman"/>
          <w:sz w:val="22"/>
          <w:szCs w:val="22"/>
        </w:rPr>
      </w:pPr>
      <w:r>
        <w:drawing>
          <wp:anchor behindDoc="0" distT="0" distB="0" distL="0" distR="0" simplePos="0" locked="0" layoutInCell="0" allowOverlap="1" relativeHeight="21">
            <wp:simplePos x="0" y="0"/>
            <wp:positionH relativeFrom="column">
              <wp:align>center</wp:align>
            </wp:positionH>
            <wp:positionV relativeFrom="paragraph">
              <wp:posOffset>635</wp:posOffset>
            </wp:positionV>
            <wp:extent cx="1921510" cy="552450"/>
            <wp:effectExtent l="0" t="0" r="0" b="0"/>
            <wp:wrapSquare wrapText="largest"/>
            <wp:docPr id="24"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1" descr=""/>
                    <pic:cNvPicPr>
                      <a:picLocks noChangeAspect="1" noChangeArrowheads="1"/>
                    </pic:cNvPicPr>
                  </pic:nvPicPr>
                  <pic:blipFill>
                    <a:blip r:embed="rId14"/>
                    <a:stretch>
                      <a:fillRect/>
                    </a:stretch>
                  </pic:blipFill>
                  <pic:spPr bwMode="auto">
                    <a:xfrm>
                      <a:off x="0" y="0"/>
                      <a:ext cx="1921510" cy="552450"/>
                    </a:xfrm>
                    <a:prstGeom prst="rect">
                      <a:avLst/>
                    </a:prstGeom>
                  </pic:spPr>
                </pic:pic>
              </a:graphicData>
            </a:graphic>
          </wp:anchor>
        </w:drawing>
      </w:r>
      <w:r>
        <w:rPr>
          <w:rFonts w:ascii="Times New Roman" w:hAnsi="Times New Roman"/>
          <w:sz w:val="22"/>
          <w:szCs w:val="22"/>
        </w:rPr>
        <w:tab/>
        <w:tab/>
        <w:tab/>
        <w:tab/>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r>
    </w:p>
    <w:p>
      <w:pPr>
        <w:pStyle w:val="Normal"/>
        <w:rPr>
          <w:rFonts w:ascii="Times New Roman" w:hAnsi="Times New Roman"/>
          <w:sz w:val="22"/>
          <w:szCs w:val="22"/>
        </w:rPr>
      </w:pPr>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rPr>
        <w:tab/>
      </w:r>
      <w:r>
        <w:rPr>
          <w:rFonts w:ascii="Times New Roman" w:hAnsi="Times New Roman"/>
          <w:sz w:val="22"/>
          <w:szCs w:val="22"/>
        </w:rPr>
        <w:t xml:space="preserve">Nous attirons l’attention ci-dessus sur le chiffre « critique » du calcul de Gerlich et Tscheuschner. La seconde ligne dans (77) </w:t>
      </w:r>
      <w:r>
        <w:rPr>
          <w:rFonts w:ascii="Times New Roman" w:hAnsi="Times New Roman"/>
          <w:b/>
          <w:bCs/>
          <w:sz w:val="22"/>
          <w:szCs w:val="22"/>
        </w:rPr>
        <w:t>conduit à la valeur T = 0 du côté nuit.</w:t>
      </w:r>
      <w:r>
        <w:rPr>
          <w:rFonts w:ascii="Times New Roman" w:hAnsi="Times New Roman"/>
          <w:sz w:val="22"/>
          <w:szCs w:val="22"/>
        </w:rPr>
        <w:t xml:space="preserve"> Cette température n’est évidemment pas la température réelle, nous l’avons déjà dit. Mais, si le soleil n’éclaire pas la terre du côté nuit, c’est que </w:t>
      </w:r>
      <w:r>
        <w:rPr>
          <w:rFonts w:ascii="Times New Roman" w:hAnsi="Times New Roman"/>
          <w:b/>
          <w:bCs/>
          <w:sz w:val="22"/>
          <w:szCs w:val="22"/>
        </w:rPr>
        <w:t>l’influence instantanée du rayonnement solaire sur la température la nuit est bel et bien nulle.</w:t>
      </w:r>
    </w:p>
    <w:p>
      <w:pPr>
        <w:pStyle w:val="Normal"/>
        <w:jc w:val="both"/>
        <w:rPr>
          <w:rFonts w:ascii="Times New Roman" w:hAnsi="Times New Roman"/>
          <w:sz w:val="22"/>
          <w:szCs w:val="22"/>
        </w:rPr>
      </w:pPr>
      <w:r>
        <w:rPr/>
        <w:br/>
        <w:tab/>
      </w:r>
      <w:r>
        <w:rPr>
          <w:rFonts w:ascii="Times New Roman" w:hAnsi="Times New Roman"/>
          <w:b/>
          <w:bCs/>
          <w:sz w:val="22"/>
          <w:szCs w:val="22"/>
        </w:rPr>
        <w:t>La température réelle la nuit</w:t>
      </w:r>
      <w:r>
        <w:rPr>
          <w:rFonts w:ascii="Times New Roman" w:hAnsi="Times New Roman"/>
          <w:sz w:val="22"/>
          <w:szCs w:val="22"/>
        </w:rPr>
        <w:t xml:space="preserve"> dépend quant à elle d’autres facteurs que la seule action du rayonnement solaire. Le facteur très largement principal qui pilote cette température réelle est d’ailleurs facile à identifier, il s’agit de l’énorme inertie thermique de l’océan. Cette inertie n’a aucun rapport avec l’irradiance entrante et n’a en aucun cas à être mélangée avec elle dans les calculs de température. L’irradiance est nulle la nuit, donc l’influence solaire sur la température est nulle la nuit, ce qui doit être pris en compte et l’est parfaitement bien dans le calcul de Gerlich et Tscheuschner.</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Un second point « critique » est la division par 4π effectuée par Gerlich et Tscheuschner. Ne fallait-il pas diviser par 2π seulement, pour tenir compte du fait que l’irradiance solaire n’atteint en réalité la terre que sur un seul hémisphère à chaque instant, à savoir le côté éclairé du globe ?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En approfondissant cette question, la réponse est non : il faut bien ici diviser par 4π, parce que l’application de la loi de Stefan-Boltzmann qui est utilisée dans ce calcul doit prendre en compte le fait que c’est </w:t>
      </w:r>
      <w:r>
        <w:rPr>
          <w:rFonts w:ascii="Times New Roman" w:hAnsi="Times New Roman"/>
          <w:b/>
          <w:bCs/>
          <w:sz w:val="22"/>
          <w:szCs w:val="22"/>
        </w:rPr>
        <w:t>la terre entière qui est en équilibre radiatif et non pas la seule face éclairée.</w:t>
      </w:r>
    </w:p>
    <w:p>
      <w:pPr>
        <w:pStyle w:val="Normal"/>
        <w:jc w:val="both"/>
        <w:rPr>
          <w:rFonts w:ascii="Times New Roman" w:hAnsi="Times New Roman"/>
          <w:sz w:val="22"/>
          <w:szCs w:val="22"/>
        </w:rPr>
      </w:pPr>
      <w:r>
        <w:rPr>
          <w:rFonts w:ascii="Times New Roman" w:hAnsi="Times New Roman"/>
          <w:sz w:val="22"/>
          <w:szCs w:val="22"/>
        </w:rPr>
        <w:br/>
        <w:tab/>
        <w:t>S’il est vrai que le rayonnement incident n’entre que par un hémisphère seulement, il est vrai aussi que le rayonnement qui s’échappe dans l’espace sort quant à lui tout autour du globe et non pas par un seul hémisphère. Ceci oblige à considérer que le rayonnement incident « entre », lui aussi, par la sphère entière, ce qui semble contre-intuitif puisqu’en réalité une moitié seulement est éclairée. La seule façon de concilier ces éléments en apparence contradictoires est donc bien de considérer l’irradiance comme nulle la nuit et de diviser l’intégrale à calculer par 4π, pour tenir compte du fait que l’énergie sortante émane de son c</w:t>
      </w:r>
      <w:r>
        <w:rPr>
          <w:rFonts w:eastAsia="Noto Serif CJK SC" w:cs="Lohit Devanagari" w:ascii="Times New Roman" w:hAnsi="Times New Roman"/>
          <w:color w:val="auto"/>
          <w:kern w:val="2"/>
          <w:sz w:val="22"/>
          <w:szCs w:val="22"/>
          <w:lang w:val="fr-FR" w:eastAsia="zh-CN" w:bidi="hi-IN"/>
        </w:rPr>
        <w:t xml:space="preserve">ôté </w:t>
      </w:r>
      <w:r>
        <w:rPr>
          <w:rFonts w:ascii="Times New Roman" w:hAnsi="Times New Roman"/>
          <w:sz w:val="22"/>
          <w:szCs w:val="22"/>
        </w:rPr>
        <w:t>du globe tout entier.</w:t>
      </w:r>
    </w:p>
    <w:p>
      <w:pPr>
        <w:pStyle w:val="Normal"/>
        <w:jc w:val="both"/>
        <w:rPr>
          <w:rFonts w:ascii="Times New Roman" w:hAnsi="Times New Roman"/>
          <w:sz w:val="22"/>
          <w:szCs w:val="22"/>
        </w:rPr>
      </w:pPr>
      <w:r>
        <w:rPr>
          <w:rFonts w:ascii="Times New Roman" w:hAnsi="Times New Roman"/>
          <w:sz w:val="22"/>
          <w:szCs w:val="22"/>
        </w:rPr>
        <w:br/>
        <w:tab/>
        <w:t xml:space="preserve">Répétons-le, nous obtenons ainsi non pas la température réelle, mais </w:t>
      </w:r>
      <w:r>
        <w:rPr>
          <w:rFonts w:ascii="Times New Roman" w:hAnsi="Times New Roman"/>
          <w:b/>
          <w:bCs/>
          <w:sz w:val="22"/>
          <w:szCs w:val="22"/>
        </w:rPr>
        <w:t>la température résultant sur terre de la seule action du rayonnement solaire.</w:t>
      </w:r>
    </w:p>
    <w:p>
      <w:pPr>
        <w:pStyle w:val="Normal"/>
        <w:jc w:val="both"/>
        <w:rPr>
          <w:rFonts w:ascii="Times New Roman" w:hAnsi="Times New Roman"/>
          <w:sz w:val="22"/>
          <w:szCs w:val="22"/>
        </w:rPr>
      </w:pPr>
      <w:r>
        <w:rPr>
          <w:rFonts w:ascii="Times New Roman" w:hAnsi="Times New Roman"/>
          <w:b/>
          <w:bCs/>
          <w:sz w:val="22"/>
          <w:szCs w:val="22"/>
        </w:rPr>
        <w:br/>
        <w:tab/>
      </w:r>
      <w:r>
        <w:rPr>
          <w:rFonts w:ascii="Times New Roman" w:hAnsi="Times New Roman"/>
          <w:b w:val="false"/>
          <w:bCs w:val="false"/>
          <w:sz w:val="22"/>
          <w:szCs w:val="22"/>
        </w:rPr>
        <w:t>Un troisième point critique est évoqué par le titre du paragraphe de ce passage de l’article de Gerlich et Tscheuschner. Le globe considéré est dit statique. Gerlich recherche d’ailleurs laborieusement une équation d’équilibre dans le cas d’un globe en rotation. Cette recherche n’a pas lieu d’</w:t>
      </w:r>
      <w:r>
        <w:rPr>
          <w:rFonts w:eastAsia="Noto Serif CJK SC" w:cs="Lohit Devanagari" w:ascii="Times New Roman" w:hAnsi="Times New Roman"/>
          <w:b w:val="false"/>
          <w:bCs w:val="false"/>
          <w:color w:val="auto"/>
          <w:kern w:val="2"/>
          <w:sz w:val="22"/>
          <w:szCs w:val="22"/>
          <w:lang w:val="fr-FR" w:eastAsia="zh-CN" w:bidi="hi-IN"/>
        </w:rPr>
        <w:t xml:space="preserve">être. L’application de Stefan-Bolzmann se fait en effet à un instant donné bien précis et n’a donc pas à tenir compte d’un mouvement de la terre. C’est une photo de l’équilibre radiatif à un instant donné. La rotation n’influe en rien </w:t>
      </w:r>
    </w:p>
    <w:p>
      <w:pPr>
        <w:pStyle w:val="Normal"/>
        <w:jc w:val="both"/>
        <w:rPr>
          <w:rFonts w:ascii="Times New Roman" w:hAnsi="Times New Roman"/>
          <w:sz w:val="22"/>
          <w:szCs w:val="22"/>
        </w:rPr>
      </w:pPr>
      <w:r>
        <w:rPr>
          <w:rFonts w:ascii="Times New Roman" w:hAnsi="Times New Roman"/>
          <w:sz w:val="22"/>
          <w:szCs w:val="22"/>
        </w:rPr>
        <w:t>sur la photo elle-m</w:t>
      </w:r>
      <w:r>
        <w:rPr>
          <w:rFonts w:eastAsia="Noto Serif CJK SC" w:cs="Lohit Devanagari" w:ascii="Times New Roman" w:hAnsi="Times New Roman"/>
          <w:color w:val="auto"/>
          <w:kern w:val="2"/>
          <w:sz w:val="22"/>
          <w:szCs w:val="22"/>
          <w:lang w:val="fr-FR" w:eastAsia="zh-CN" w:bidi="hi-IN"/>
        </w:rPr>
        <w:t>ême, donc sur l’équation d’équilibre.</w:t>
      </w:r>
      <w:r>
        <w:rPr>
          <w:rFonts w:ascii="Times New Roman" w:hAnsi="Times New Roman"/>
          <w:sz w:val="22"/>
          <w:szCs w:val="22"/>
        </w:rPr>
        <w:t xml:space="preserve"> Par contre, la rotation fait partie des éléments à prendre en compte lorsque l’on recherche non pas la contribution instantanée  du rayonnement solaire, mais lorsque l’on cherche la température réelle au sol. C’est ainsi que si la terre était immobile, nous aurions réellement une température de -273 °C la nuit, tandis que si la terre tourne, ce n’est plus le cas. L’importnat est de coprendre que du c</w:t>
      </w:r>
      <w:r>
        <w:rPr>
          <w:rFonts w:eastAsia="Noto Serif CJK SC" w:cs="Lohit Devanagari" w:ascii="Times New Roman" w:hAnsi="Times New Roman"/>
          <w:color w:val="auto"/>
          <w:kern w:val="2"/>
          <w:sz w:val="22"/>
          <w:szCs w:val="22"/>
          <w:lang w:val="fr-FR" w:eastAsia="zh-CN" w:bidi="hi-IN"/>
        </w:rPr>
        <w:t>ôté jour, la rotation de la terre est sans infuence sur l’équation d’équilibre et donc sur la tepérature calculée de ce côté.</w:t>
      </w:r>
    </w:p>
    <w:p>
      <w:pPr>
        <w:pStyle w:val="Normal"/>
        <w:jc w:val="both"/>
        <w:rPr>
          <w:rFonts w:ascii="Times New Roman" w:hAnsi="Times New Roman"/>
          <w:sz w:val="22"/>
          <w:szCs w:val="22"/>
        </w:rPr>
      </w:pPr>
      <w:r>
        <w:rPr>
          <w:rFonts w:ascii="Times New Roman" w:hAnsi="Times New Roman"/>
          <w:sz w:val="22"/>
          <w:szCs w:val="22"/>
        </w:rPr>
        <w:t xml:space="preserve">                                                                                             </w:t>
      </w:r>
    </w:p>
    <w:p>
      <w:pPr>
        <w:pStyle w:val="Normal"/>
        <w:rPr>
          <w:rFonts w:ascii="Times New Roman" w:hAnsi="Times New Roman"/>
          <w:sz w:val="22"/>
          <w:szCs w:val="22"/>
        </w:rPr>
      </w:pPr>
      <w:r>
        <w:rPr>
          <w:rFonts w:ascii="Times New Roman" w:hAnsi="Times New Roman"/>
          <w:sz w:val="22"/>
          <w:szCs w:val="22"/>
        </w:rPr>
        <w:tab/>
        <w:t>Le calcul de Gerlich et Tscheuschner donne -129 °C comme température moyenne ainsi interprétée., pour une planète ayant un albédo  de 0,3 comme la terre. Ce résultat est parfaitement correct.</w:t>
      </w:r>
    </w:p>
    <w:p>
      <w:pPr>
        <w:pStyle w:val="Normal"/>
        <w:rPr>
          <w:rFonts w:ascii="Times New Roman" w:hAnsi="Times New Roman"/>
          <w:sz w:val="22"/>
          <w:szCs w:val="22"/>
        </w:rPr>
      </w:pPr>
      <w:r>
        <w:rPr>
          <w:rFonts w:ascii="Times New Roman" w:hAnsi="Times New Roman"/>
          <w:sz w:val="22"/>
          <w:szCs w:val="22"/>
        </w:rPr>
        <w:tab/>
      </w:r>
    </w:p>
    <w:p>
      <w:pPr>
        <w:pStyle w:val="Normal"/>
        <w:jc w:val="both"/>
        <w:rPr>
          <w:rFonts w:ascii="Times New Roman" w:hAnsi="Times New Roman"/>
          <w:sz w:val="22"/>
          <w:szCs w:val="22"/>
        </w:rPr>
      </w:pPr>
      <w:r>
        <w:rPr>
          <w:rFonts w:ascii="Times New Roman" w:hAnsi="Times New Roman"/>
          <w:sz w:val="22"/>
          <w:szCs w:val="22"/>
        </w:rPr>
        <w:tab/>
        <w:t xml:space="preserve">Nous pouvons donc affirmer successivement, en appelant T </w:t>
      </w:r>
      <w:r>
        <w:rPr>
          <w:rFonts w:ascii="Times New Roman" w:hAnsi="Times New Roman"/>
          <w:sz w:val="22"/>
          <w:szCs w:val="22"/>
          <w:vertAlign w:val="subscript"/>
        </w:rPr>
        <w:t xml:space="preserve">nuit </w:t>
      </w:r>
      <w:r>
        <w:rPr>
          <w:rFonts w:ascii="Times New Roman" w:hAnsi="Times New Roman"/>
          <w:sz w:val="22"/>
          <w:szCs w:val="22"/>
        </w:rPr>
        <w:t xml:space="preserve">et T </w:t>
      </w:r>
      <w:r>
        <w:rPr>
          <w:rFonts w:ascii="Times New Roman" w:hAnsi="Times New Roman"/>
          <w:sz w:val="22"/>
          <w:szCs w:val="22"/>
          <w:vertAlign w:val="subscript"/>
        </w:rPr>
        <w:t xml:space="preserve">jour </w:t>
      </w:r>
      <w:r>
        <w:rPr>
          <w:rFonts w:ascii="Times New Roman" w:hAnsi="Times New Roman"/>
          <w:sz w:val="22"/>
          <w:szCs w:val="22"/>
        </w:rPr>
        <w:t>les températures moyennes résultantes de la seule contribution du soleil respectivement le jour et la nuit, que</w:t>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br/>
        <w:tab/>
        <w:t>T</w:t>
      </w:r>
      <w:r>
        <w:rPr>
          <w:rFonts w:ascii="Times New Roman" w:hAnsi="Times New Roman"/>
          <w:sz w:val="22"/>
          <w:szCs w:val="22"/>
          <w:vertAlign w:val="subscript"/>
        </w:rPr>
        <w:t xml:space="preserve"> nuit</w:t>
      </w:r>
      <w:r>
        <w:rPr>
          <w:rFonts w:ascii="Times New Roman" w:hAnsi="Times New Roman"/>
          <w:sz w:val="22"/>
          <w:szCs w:val="22"/>
        </w:rPr>
        <w:t xml:space="preserve"> = 0 K = -273°C ;    ( T </w:t>
      </w:r>
      <w:r>
        <w:rPr>
          <w:rFonts w:ascii="Times New Roman" w:hAnsi="Times New Roman"/>
          <w:sz w:val="22"/>
          <w:szCs w:val="22"/>
          <w:vertAlign w:val="subscript"/>
        </w:rPr>
        <w:t xml:space="preserve">nuit </w:t>
      </w:r>
      <w:r>
        <w:rPr>
          <w:rFonts w:ascii="Times New Roman" w:hAnsi="Times New Roman"/>
          <w:sz w:val="22"/>
          <w:szCs w:val="22"/>
        </w:rPr>
        <w:t xml:space="preserve">+T </w:t>
      </w:r>
      <w:r>
        <w:rPr>
          <w:rFonts w:ascii="Times New Roman" w:hAnsi="Times New Roman"/>
          <w:sz w:val="22"/>
          <w:szCs w:val="22"/>
          <w:vertAlign w:val="subscript"/>
        </w:rPr>
        <w:t>jour</w:t>
      </w:r>
      <w:r>
        <w:rPr>
          <w:rFonts w:ascii="Times New Roman" w:hAnsi="Times New Roman"/>
          <w:sz w:val="22"/>
          <w:szCs w:val="22"/>
        </w:rPr>
        <w:t xml:space="preserve"> ) / 2 = -129°C ;         ( -273 + T</w:t>
      </w:r>
      <w:r>
        <w:rPr>
          <w:rFonts w:ascii="Times New Roman" w:hAnsi="Times New Roman"/>
          <w:sz w:val="22"/>
          <w:szCs w:val="22"/>
          <w:vertAlign w:val="subscript"/>
        </w:rPr>
        <w:t xml:space="preserve"> jour </w:t>
      </w:r>
      <w:r>
        <w:rPr>
          <w:rFonts w:ascii="Times New Roman" w:hAnsi="Times New Roman"/>
          <w:sz w:val="22"/>
          <w:szCs w:val="22"/>
        </w:rPr>
        <w:t>) / 2 = -129</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Donc T</w:t>
      </w:r>
      <w:r>
        <w:rPr>
          <w:rFonts w:ascii="Times New Roman" w:hAnsi="Times New Roman"/>
          <w:sz w:val="22"/>
          <w:szCs w:val="22"/>
          <w:vertAlign w:val="subscript"/>
        </w:rPr>
        <w:t>jour</w:t>
      </w:r>
      <w:r>
        <w:rPr>
          <w:rFonts w:ascii="Times New Roman" w:hAnsi="Times New Roman"/>
          <w:sz w:val="22"/>
          <w:szCs w:val="22"/>
        </w:rPr>
        <w:t xml:space="preserve"> = 273 - 2x129 = 273 – 258 = 15°C = 288 K</w:t>
      </w:r>
    </w:p>
    <w:p>
      <w:pPr>
        <w:pStyle w:val="Normal"/>
        <w:jc w:val="both"/>
        <w:rPr>
          <w:rFonts w:ascii="Times New Roman" w:hAnsi="Times New Roman"/>
          <w:sz w:val="22"/>
          <w:szCs w:val="22"/>
        </w:rPr>
      </w:pPr>
      <w:r>
        <w:rPr>
          <w:rFonts w:ascii="Times New Roman" w:hAnsi="Times New Roman"/>
          <w:sz w:val="22"/>
          <w:szCs w:val="22"/>
        </w:rPr>
        <w:t>.</w:t>
        <w:tab/>
      </w:r>
    </w:p>
    <w:p>
      <w:pPr>
        <w:pStyle w:val="Normal"/>
        <w:jc w:val="both"/>
        <w:rPr>
          <w:rFonts w:ascii="Times New Roman" w:hAnsi="Times New Roman"/>
          <w:sz w:val="22"/>
          <w:szCs w:val="22"/>
        </w:rPr>
      </w:pPr>
      <w:r>
        <w:rPr>
          <w:rFonts w:ascii="Times New Roman" w:hAnsi="Times New Roman"/>
          <w:sz w:val="22"/>
          <w:szCs w:val="22"/>
        </w:rPr>
        <w:tab/>
        <w:t xml:space="preserve">Le calcul de Gerlich et Tscheuschner prouve donc que le jour, la température moyenne « terrestre » due à la seule action du soleil est de 15°C. Cependant, il convient de bien comprendre à quoi ceci s’applique, car nous parlons ici du système terre-atmosphère. Que signifie exactement ce résultat de 15°C du côté du jour ? </w:t>
        <w:br/>
        <w:br/>
        <w:tab/>
        <w:t>Pour bien le comprendre, appliquons le raisonnement et le calcul de Gerlich et Tscheuschner à la lune. La lune ayant un albédo de 0,12, nous obtenons facilement une température moyenne du côté du jour résultant de la seule action du soleil de T</w:t>
      </w:r>
      <w:r>
        <w:rPr>
          <w:rFonts w:ascii="Times New Roman" w:hAnsi="Times New Roman"/>
          <w:sz w:val="22"/>
          <w:szCs w:val="22"/>
          <w:vertAlign w:val="subscript"/>
        </w:rPr>
        <w:t xml:space="preserve">jour </w:t>
      </w:r>
      <w:r>
        <w:rPr>
          <w:rFonts w:ascii="Times New Roman" w:hAnsi="Times New Roman"/>
          <w:sz w:val="22"/>
          <w:szCs w:val="22"/>
        </w:rPr>
        <w:t>=  288 x [(1-0,3) / (1-0,12)]</w:t>
      </w:r>
      <w:r>
        <w:rPr>
          <w:rFonts w:ascii="Times New Roman" w:hAnsi="Times New Roman"/>
          <w:sz w:val="22"/>
          <w:szCs w:val="22"/>
          <w:vertAlign w:val="superscript"/>
        </w:rPr>
        <w:t xml:space="preserve"> 1/4 </w:t>
      </w:r>
      <w:r>
        <w:rPr>
          <w:rFonts w:ascii="Times New Roman" w:hAnsi="Times New Roman"/>
          <w:sz w:val="22"/>
          <w:szCs w:val="22"/>
        </w:rPr>
        <w:t>= 305 K = 32° C .</w:t>
      </w:r>
    </w:p>
    <w:p>
      <w:pPr>
        <w:pStyle w:val="Normal"/>
        <w:jc w:val="both"/>
        <w:rPr>
          <w:rFonts w:ascii="Times New Roman" w:hAnsi="Times New Roman"/>
          <w:b/>
          <w:b/>
          <w:bCs/>
          <w:sz w:val="22"/>
          <w:szCs w:val="22"/>
        </w:rPr>
      </w:pPr>
      <w:r>
        <w:rPr>
          <w:rFonts w:ascii="Times New Roman" w:hAnsi="Times New Roman"/>
          <w:b/>
          <w:bCs/>
          <w:sz w:val="22"/>
          <w:szCs w:val="22"/>
        </w:rPr>
      </w:r>
    </w:p>
    <w:p>
      <w:pPr>
        <w:pStyle w:val="Normal"/>
        <w:jc w:val="both"/>
        <w:rPr>
          <w:rFonts w:ascii="Times New Roman" w:hAnsi="Times New Roman"/>
          <w:sz w:val="22"/>
          <w:szCs w:val="22"/>
        </w:rPr>
      </w:pPr>
      <w:r>
        <w:rPr>
          <w:rFonts w:ascii="Times New Roman" w:hAnsi="Times New Roman"/>
          <w:b/>
          <w:bCs/>
          <w:sz w:val="22"/>
          <w:szCs w:val="22"/>
        </w:rPr>
        <w:tab/>
        <w:t xml:space="preserve">Ce résultat est parfaitement conforme aux mesures effectuées sur la lune du coté du jour </w:t>
      </w:r>
      <w:r>
        <w:rPr>
          <w:rFonts w:ascii="Times New Roman" w:hAnsi="Times New Roman"/>
          <w:sz w:val="22"/>
          <w:szCs w:val="22"/>
        </w:rPr>
        <w:t>( voir l’article de Hurley et al [12]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Cela signifie que sur la lune, le calcul de Gerlich et Tscheuschner donne bel et bien, du côté du jour, la température réelle qui règne au sol. Celle-ci coïncide dans ce cas avec la température moyenne résultant de la seule action du soleil.</w:t>
      </w:r>
    </w:p>
    <w:p>
      <w:pPr>
        <w:pStyle w:val="Normal"/>
        <w:jc w:val="both"/>
        <w:rPr>
          <w:rFonts w:ascii="Times New Roman" w:hAnsi="Times New Roman"/>
          <w:sz w:val="22"/>
          <w:szCs w:val="22"/>
        </w:rPr>
      </w:pPr>
      <w:r>
        <w:rPr>
          <w:rFonts w:ascii="Times New Roman" w:hAnsi="Times New Roman"/>
          <w:sz w:val="22"/>
          <w:szCs w:val="22"/>
        </w:rPr>
        <w:tab/>
        <w:br/>
        <w:tab/>
        <w:t>En est-il de même sur la terre ? La réponse est moins évidente, en raison de la présence sur la terre de l’océan et de l’atmosphère, qui n’existent pas sur la lune.</w:t>
      </w:r>
    </w:p>
    <w:p>
      <w:pPr>
        <w:pStyle w:val="Normal"/>
        <w:jc w:val="both"/>
        <w:rPr>
          <w:rFonts w:ascii="Times New Roman" w:hAnsi="Times New Roman"/>
          <w:sz w:val="22"/>
          <w:szCs w:val="22"/>
        </w:rPr>
      </w:pPr>
      <w:r>
        <w:rPr>
          <w:rFonts w:ascii="Times New Roman" w:hAnsi="Times New Roman"/>
          <w:sz w:val="22"/>
          <w:szCs w:val="22"/>
        </w:rPr>
        <w:br/>
        <w:br/>
      </w:r>
      <w:r>
        <w:rPr>
          <w:rFonts w:ascii="Times New Roman" w:hAnsi="Times New Roman"/>
          <w:b/>
          <w:bCs/>
          <w:sz w:val="26"/>
          <w:szCs w:val="26"/>
        </w:rPr>
        <w:t>3-2 Interprétation du résultat du calcul de Gerlich et Tscheuschner, sur terre, côté jour :</w:t>
      </w:r>
    </w:p>
    <w:p>
      <w:pPr>
        <w:pStyle w:val="Normal"/>
        <w:jc w:val="both"/>
        <w:rPr>
          <w:rFonts w:ascii="Times New Roman" w:hAnsi="Times New Roman"/>
          <w:sz w:val="22"/>
          <w:szCs w:val="22"/>
        </w:rPr>
      </w:pPr>
      <w:r>
        <w:rPr>
          <w:rFonts w:ascii="Times New Roman" w:hAnsi="Times New Roman"/>
          <w:sz w:val="22"/>
          <w:szCs w:val="22"/>
        </w:rPr>
        <w:br/>
      </w:r>
    </w:p>
    <w:p>
      <w:pPr>
        <w:pStyle w:val="Normal"/>
        <w:jc w:val="both"/>
        <w:rPr>
          <w:rFonts w:ascii="Times New Roman" w:hAnsi="Times New Roman"/>
          <w:sz w:val="22"/>
          <w:szCs w:val="22"/>
        </w:rPr>
      </w:pPr>
      <w:r>
        <w:rPr>
          <w:rFonts w:ascii="Times New Roman" w:hAnsi="Times New Roman"/>
          <w:sz w:val="22"/>
          <w:szCs w:val="22"/>
        </w:rPr>
        <w:tab/>
        <w:t>Pour interpréter le chiffre de 15°C trouvé côté jour et voir ce qui peut en être tiré pour la température au sol, il est nécessaire de repartir d’une terre primitive rocheuse, sans océan ni atmosphère et donc sans albédo significativement différent de celui de la lune. La loi de Stefan-Boltzmann appliquée à un soleil ayant la même température de surface qu’aujourd’hui et l’application à la terre primitive d’un albédo faible, entre 0 et disons 0,15 (0,12 pour la lune) indique qu’une telle terre avait une température au sol moyenne côté jour comprise entre 303 K et 316 K, c’est-à-dire entre 30°C et 43°C. Nous ignorons quelle serait la température d’une terre primitive côté nuit, mais c’est sans importance ici.</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L’apparition progressive d’un océan et d’une atmosphère a eu trois conséquences sur le rayonnement solaire entrant, constatables aujourd’hui. Ce sont :</w:t>
      </w:r>
    </w:p>
    <w:p>
      <w:pPr>
        <w:pStyle w:val="Normal"/>
        <w:jc w:val="both"/>
        <w:rPr>
          <w:rFonts w:ascii="Times New Roman" w:hAnsi="Times New Roman"/>
          <w:sz w:val="22"/>
          <w:szCs w:val="22"/>
        </w:rPr>
      </w:pPr>
      <w:r>
        <w:rPr>
          <w:rFonts w:ascii="Times New Roman" w:hAnsi="Times New Roman"/>
          <w:sz w:val="22"/>
          <w:szCs w:val="22"/>
        </w:rPr>
        <w:t xml:space="preserve">            </w:t>
      </w:r>
    </w:p>
    <w:p>
      <w:pPr>
        <w:pStyle w:val="Normal"/>
        <w:numPr>
          <w:ilvl w:val="0"/>
          <w:numId w:val="1"/>
        </w:numPr>
        <w:jc w:val="both"/>
        <w:rPr>
          <w:rFonts w:ascii="Times New Roman" w:hAnsi="Times New Roman"/>
          <w:sz w:val="22"/>
          <w:szCs w:val="22"/>
        </w:rPr>
      </w:pPr>
      <w:r>
        <w:rPr>
          <w:rFonts w:ascii="Times New Roman" w:hAnsi="Times New Roman"/>
          <w:sz w:val="22"/>
          <w:szCs w:val="22"/>
        </w:rPr>
        <w:t>Un albédo qui a augmenté en raison de la présence de l’atmosphère et notamment de la présence de nuages. Ceci a diminué l’intensité du rayonnement entrant. Avec un albédo de 0,3, la température moyenne côté éclairé de la terre est passée à 288 K = 15°C ainsi que le</w:t>
        <w:br/>
        <w:t>montre le calcul correct exposé précédemment. Le rayonnement sortant, supérieur au rayonnement entrant, a en effet peu à peu refroidi la terre jusqu’à ce qu’il diminue et redevienne égal au rayonnement entrant.</w:t>
      </w:r>
    </w:p>
    <w:p>
      <w:pPr>
        <w:pStyle w:val="Normal"/>
        <w:ind w:left="720" w:hanging="0"/>
        <w:jc w:val="both"/>
        <w:rPr>
          <w:rFonts w:ascii="Times New Roman" w:hAnsi="Times New Roman"/>
          <w:sz w:val="22"/>
          <w:szCs w:val="22"/>
        </w:rPr>
      </w:pPr>
      <w:r>
        <w:rPr>
          <w:rFonts w:ascii="Times New Roman" w:hAnsi="Times New Roman"/>
          <w:sz w:val="22"/>
          <w:szCs w:val="22"/>
        </w:rPr>
      </w:r>
    </w:p>
    <w:p>
      <w:pPr>
        <w:pStyle w:val="Normal"/>
        <w:numPr>
          <w:ilvl w:val="0"/>
          <w:numId w:val="1"/>
        </w:numPr>
        <w:jc w:val="both"/>
        <w:rPr>
          <w:rFonts w:ascii="Times New Roman" w:hAnsi="Times New Roman"/>
          <w:sz w:val="22"/>
          <w:szCs w:val="22"/>
        </w:rPr>
      </w:pPr>
      <w:r>
        <w:rPr>
          <w:rFonts w:ascii="Times New Roman" w:hAnsi="Times New Roman"/>
          <w:sz w:val="22"/>
          <w:szCs w:val="22"/>
        </w:rPr>
        <w:t>La présence de l’oxygène a peu à peu créé la stratosphère au dessus de l’atmosphère et ceci a conduit à l’existence d’une couche d’ozone absorbant une partie du rayonnement solaire entrant, mais la renvoyant aussi directement dans l’espace. Ce phénomène a donc été sans conséquence sur la température au sol. En effet, le rayonnement entrant au sol a été diminué mais le rayonnement sortant du sol l’a été d’autant. L’équilibre ainsi obtenu ne saurait en effet modifier la température au sol, même si le rayonnement entrant au sol s’en est pourtant trouvé diminué.</w:t>
      </w:r>
    </w:p>
    <w:p>
      <w:pPr>
        <w:pStyle w:val="Normal"/>
        <w:ind w:left="720" w:hanging="0"/>
        <w:jc w:val="both"/>
        <w:rPr>
          <w:rFonts w:ascii="Times New Roman" w:hAnsi="Times New Roman"/>
          <w:sz w:val="22"/>
          <w:szCs w:val="22"/>
        </w:rPr>
      </w:pPr>
      <w:r>
        <w:rPr>
          <w:rFonts w:ascii="Times New Roman" w:hAnsi="Times New Roman"/>
          <w:sz w:val="22"/>
          <w:szCs w:val="22"/>
        </w:rPr>
      </w:r>
    </w:p>
    <w:p>
      <w:pPr>
        <w:pStyle w:val="Normal"/>
        <w:numPr>
          <w:ilvl w:val="0"/>
          <w:numId w:val="1"/>
        </w:numPr>
        <w:jc w:val="both"/>
        <w:rPr>
          <w:rFonts w:ascii="Times New Roman" w:hAnsi="Times New Roman"/>
          <w:sz w:val="22"/>
          <w:szCs w:val="22"/>
        </w:rPr>
      </w:pPr>
      <w:r>
        <w:rPr>
          <w:rFonts w:ascii="Times New Roman" w:hAnsi="Times New Roman"/>
          <w:sz w:val="22"/>
          <w:szCs w:val="22"/>
        </w:rPr>
        <w:t xml:space="preserve">L’atmosphère contenant de plus en plus de gaz à effet de serre a absorbé davantage le rayonnement solaire, mais a renvoyé également directement au cosmos un rayonnement infrarouge. Le même raisonnement que celui tenu au 2°) s’applique donc : le rayonnement parvenant jusqu’au sol a diminué mais le rayonnement sortant du sol a été diminué d’autant. Donc cette absorption a été sans conséquence sur la température au sol.                 </w:t>
      </w:r>
    </w:p>
    <w:p>
      <w:pPr>
        <w:pStyle w:val="Normal"/>
        <w:ind w:left="720" w:hanging="0"/>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Le seul phénomène susceptible d’avoir modifié la température initiale, située vers 30°C à 43°C au sol du côté éclairé a donc été la diminution de l’albédo.</w:t>
      </w:r>
    </w:p>
    <w:p>
      <w:pPr>
        <w:pStyle w:val="Normal"/>
        <w:jc w:val="both"/>
        <w:rPr>
          <w:rFonts w:ascii="Times New Roman" w:hAnsi="Times New Roman"/>
          <w:sz w:val="22"/>
          <w:szCs w:val="22"/>
        </w:rPr>
      </w:pPr>
      <w:r>
        <w:rPr>
          <w:rFonts w:ascii="Times New Roman" w:hAnsi="Times New Roman"/>
          <w:sz w:val="22"/>
          <w:szCs w:val="22"/>
        </w:rPr>
        <w:t xml:space="preserve">                                            </w:t>
      </w:r>
    </w:p>
    <w:p>
      <w:pPr>
        <w:pStyle w:val="Normal"/>
        <w:jc w:val="both"/>
        <w:rPr>
          <w:rFonts w:ascii="Times New Roman" w:hAnsi="Times New Roman"/>
          <w:sz w:val="22"/>
          <w:szCs w:val="22"/>
        </w:rPr>
      </w:pPr>
      <w:r>
        <w:rPr>
          <w:rFonts w:ascii="Times New Roman" w:hAnsi="Times New Roman"/>
          <w:sz w:val="22"/>
          <w:szCs w:val="22"/>
        </w:rPr>
        <w:tab/>
        <w:t>Tout cela signifie donc que 15°C est en fin de compte la température que doit avoir le sol côté éclairé d’une planète située à 1 UA du soleil et dotée d’une atmosphère pour pouvoir être doublement en équilibre. Nous entendons par être doublement en équilibre le fait que d’une part le système tout entier soit en équilibre radiatif et d’autre part le fait que le sol lui-même soit, lui, en équilibre thermique. La présence de l’atmosphère a en effet deux conséquences, à savoir l’existence d’un albédo de 0,3 et l’existence d’un gradient thermique, Ces deux conséquences convergent toutes les deux vers la coexistence entre une température de rayonnement du système terre-atmosphère vers le cosmos de -18°C et une température au sol, côté éclairé, de 15°C.</w:t>
      </w:r>
    </w:p>
    <w:p>
      <w:pPr>
        <w:pStyle w:val="Normal"/>
        <w:jc w:val="both"/>
        <w:rPr>
          <w:rFonts w:ascii="Times New Roman" w:hAnsi="Times New Roman"/>
          <w:sz w:val="22"/>
          <w:szCs w:val="22"/>
        </w:rPr>
      </w:pPr>
      <w:r>
        <w:rPr>
          <w:rFonts w:ascii="Times New Roman" w:hAnsi="Times New Roman"/>
          <w:sz w:val="22"/>
          <w:szCs w:val="22"/>
        </w:rPr>
        <w:br/>
        <w:tab/>
        <w:t xml:space="preserve">Il n’y a pas d’autre moyen, physiquement et mathématiquement de concilier trois faits : </w:t>
      </w:r>
    </w:p>
    <w:p>
      <w:pPr>
        <w:pStyle w:val="Normal"/>
        <w:jc w:val="both"/>
        <w:rPr>
          <w:rFonts w:ascii="Times New Roman" w:hAnsi="Times New Roman"/>
          <w:sz w:val="22"/>
          <w:szCs w:val="22"/>
        </w:rPr>
      </w:pPr>
      <w:r>
        <w:rPr>
          <w:rFonts w:ascii="Times New Roman" w:hAnsi="Times New Roman"/>
          <w:sz w:val="22"/>
          <w:szCs w:val="22"/>
        </w:rPr>
      </w:r>
    </w:p>
    <w:p>
      <w:pPr>
        <w:pStyle w:val="Normal"/>
        <w:numPr>
          <w:ilvl w:val="0"/>
          <w:numId w:val="2"/>
        </w:numPr>
        <w:jc w:val="both"/>
        <w:rPr>
          <w:rFonts w:ascii="Times New Roman" w:hAnsi="Times New Roman"/>
          <w:sz w:val="22"/>
          <w:szCs w:val="22"/>
        </w:rPr>
      </w:pPr>
      <w:r>
        <w:rPr>
          <w:rFonts w:ascii="Times New Roman" w:hAnsi="Times New Roman"/>
          <w:sz w:val="22"/>
          <w:szCs w:val="22"/>
        </w:rPr>
        <w:t>le système terre-atmosphère est en équilibre radiatif à une température de rayonnement de --18°C</w:t>
      </w:r>
    </w:p>
    <w:p>
      <w:pPr>
        <w:pStyle w:val="Normal"/>
        <w:numPr>
          <w:ilvl w:val="0"/>
          <w:numId w:val="2"/>
        </w:numPr>
        <w:jc w:val="both"/>
        <w:rPr>
          <w:rFonts w:ascii="Times New Roman" w:hAnsi="Times New Roman"/>
          <w:sz w:val="22"/>
          <w:szCs w:val="22"/>
        </w:rPr>
      </w:pPr>
      <w:r>
        <w:rPr>
          <w:rFonts w:ascii="Times New Roman" w:hAnsi="Times New Roman"/>
          <w:sz w:val="22"/>
          <w:szCs w:val="22"/>
        </w:rPr>
        <w:t>le sol terrestre est en équilibre thermique, avec une température côté jour de 15°C</w:t>
      </w:r>
    </w:p>
    <w:p>
      <w:pPr>
        <w:pStyle w:val="Normal"/>
        <w:numPr>
          <w:ilvl w:val="0"/>
          <w:numId w:val="2"/>
        </w:numPr>
        <w:jc w:val="both"/>
        <w:rPr>
          <w:rFonts w:ascii="Times New Roman" w:hAnsi="Times New Roman"/>
          <w:sz w:val="22"/>
          <w:szCs w:val="22"/>
        </w:rPr>
      </w:pPr>
      <w:r>
        <w:rPr>
          <w:rFonts w:ascii="Times New Roman" w:hAnsi="Times New Roman"/>
          <w:sz w:val="22"/>
          <w:szCs w:val="22"/>
        </w:rPr>
        <w:t>il existe un gradient thermique entre le sol et le haut de l’atmosphère, compatible avec les températures ainsi calculées.</w:t>
      </w:r>
    </w:p>
    <w:p>
      <w:pPr>
        <w:pStyle w:val="Normal"/>
        <w:jc w:val="both"/>
        <w:rPr>
          <w:rFonts w:ascii="Times New Roman" w:hAnsi="Times New Roman"/>
          <w:sz w:val="22"/>
          <w:szCs w:val="22"/>
        </w:rPr>
      </w:pPr>
      <w:r>
        <w:rPr>
          <w:rFonts w:ascii="Times New Roman" w:hAnsi="Times New Roman"/>
          <w:sz w:val="22"/>
          <w:szCs w:val="22"/>
        </w:rPr>
        <w:t xml:space="preserve">                                        </w:t>
      </w:r>
    </w:p>
    <w:p>
      <w:pPr>
        <w:pStyle w:val="Normal"/>
        <w:jc w:val="both"/>
        <w:rPr>
          <w:rFonts w:ascii="Times New Roman" w:hAnsi="Times New Roman"/>
          <w:sz w:val="22"/>
          <w:szCs w:val="22"/>
        </w:rPr>
      </w:pPr>
      <w:r>
        <w:rPr>
          <w:rFonts w:ascii="Times New Roman" w:hAnsi="Times New Roman"/>
          <w:sz w:val="22"/>
          <w:szCs w:val="22"/>
        </w:rPr>
        <w:tab/>
        <w:t>Enfin, il est bien connu que l’inertie thermique considérable de l’océan et celle nettement moindre mais réelle de l’atmosphère sont les responsables du fait que la température au sol la nuit soit à peu de chose près la même que la température au sol le jour. L’inertie en question a fort peu de rapport avec l’existence des gaz à effet de serre. Il s’agit à plus de 99,9 %  de l’inertie thermique de l’océan.</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Cela signifie que la température</w:t>
      </w:r>
      <w:r>
        <w:rPr>
          <w:rFonts w:ascii="Times New Roman" w:hAnsi="Times New Roman"/>
          <w:color w:val="000000"/>
          <w:sz w:val="22"/>
          <w:szCs w:val="22"/>
        </w:rPr>
        <w:t xml:space="preserve"> « moyenne » </w:t>
      </w:r>
      <w:r>
        <w:rPr>
          <w:rFonts w:ascii="Times New Roman" w:hAnsi="Times New Roman"/>
          <w:sz w:val="22"/>
          <w:szCs w:val="22"/>
        </w:rPr>
        <w:t>de 15°C qui règne depuis des millénaires au sol est due :</w:t>
      </w:r>
    </w:p>
    <w:p>
      <w:pPr>
        <w:pStyle w:val="Normal"/>
        <w:jc w:val="both"/>
        <w:rPr>
          <w:rFonts w:ascii="Times New Roman" w:hAnsi="Times New Roman"/>
          <w:sz w:val="22"/>
          <w:szCs w:val="22"/>
        </w:rPr>
      </w:pPr>
      <w:r>
        <w:rPr>
          <w:rFonts w:ascii="Times New Roman" w:hAnsi="Times New Roman"/>
          <w:sz w:val="22"/>
          <w:szCs w:val="22"/>
        </w:rPr>
      </w:r>
    </w:p>
    <w:p>
      <w:pPr>
        <w:pStyle w:val="Normal"/>
        <w:numPr>
          <w:ilvl w:val="0"/>
          <w:numId w:val="3"/>
        </w:numPr>
        <w:jc w:val="both"/>
        <w:rPr/>
      </w:pPr>
      <w:r>
        <w:rPr>
          <w:rFonts w:ascii="Times New Roman" w:hAnsi="Times New Roman"/>
          <w:sz w:val="22"/>
          <w:szCs w:val="22"/>
        </w:rPr>
        <w:t>Le jour à l’action du soleil. Le calcul de Gerlich et Tscheuschner donne en effet, sauf aux abords du terminateur, la température réelle au sol, qui dans ce cas coïncide avec la température due à la seule action du rayonnement solaire.</w:t>
      </w:r>
    </w:p>
    <w:p>
      <w:pPr>
        <w:pStyle w:val="Normal"/>
        <w:numPr>
          <w:ilvl w:val="0"/>
          <w:numId w:val="3"/>
        </w:numPr>
        <w:jc w:val="both"/>
        <w:rPr/>
      </w:pPr>
      <w:r>
        <w:rPr>
          <w:rFonts w:ascii="Times New Roman" w:hAnsi="Times New Roman"/>
          <w:sz w:val="22"/>
          <w:szCs w:val="22"/>
        </w:rPr>
        <w:t>La nuit à l’inertie thermique de l’océan. Il en est de même aux abords du terminateur.</w:t>
      </w:r>
    </w:p>
    <w:p>
      <w:pPr>
        <w:pStyle w:val="Normal"/>
        <w:numPr>
          <w:ilvl w:val="0"/>
          <w:numId w:val="0"/>
        </w:numPr>
        <w:ind w:left="720" w:hanging="0"/>
        <w:jc w:val="left"/>
        <w:rPr/>
      </w:pPr>
      <w:r>
        <w:rPr>
          <w:rFonts w:ascii="Times New Roman" w:hAnsi="Times New Roman"/>
          <w:sz w:val="22"/>
          <w:szCs w:val="22"/>
        </w:rPr>
        <w:br/>
        <w:t xml:space="preserve"> </w:t>
      </w:r>
    </w:p>
    <w:p>
      <w:pPr>
        <w:pStyle w:val="Normal"/>
        <w:jc w:val="both"/>
        <w:rPr/>
      </w:pPr>
      <w:r>
        <w:rPr>
          <w:rFonts w:ascii="Times New Roman" w:hAnsi="Times New Roman"/>
          <w:sz w:val="22"/>
          <w:szCs w:val="22"/>
        </w:rPr>
        <w:t xml:space="preserve"> </w:t>
      </w:r>
      <w:r>
        <w:rPr>
          <w:rFonts w:ascii="Times New Roman" w:hAnsi="Times New Roman"/>
          <w:sz w:val="22"/>
          <w:szCs w:val="22"/>
        </w:rPr>
        <w:tab/>
        <w:t>Les gaz à effet de serre n’ont rien à voir avec ces considérations. Voyons cependant quel est leur rôle. Le fait qu’ils absorbent le rayonnement infrarouge signifie que, comme tout corps touché par un rayonnement, ils absorbent de l’énergie et par là chauffent par conséquent aussi l’atmosphère environnant par convection. En aucun cas ils ne chauffent le sol, cette idée est dépourvue de sens. Certaines présentations indiquent en effet que le sol serait en déséquilibre radiatif à cause des gaz à effet de serre et que pour cette raison, ce sol chaufferait. Le déséquilibre radiatif, dû à la présence des gaz à effet de serre, qui rend l’atmosphère opaque, entraînerait une augmentation de température au sol.</w:t>
      </w:r>
    </w:p>
    <w:p>
      <w:pPr>
        <w:pStyle w:val="Normal"/>
        <w:jc w:val="both"/>
        <w:rPr/>
      </w:pPr>
      <w:r>
        <w:rPr>
          <w:rFonts w:ascii="Times New Roman" w:hAnsi="Times New Roman"/>
          <w:sz w:val="22"/>
          <w:szCs w:val="22"/>
        </w:rPr>
        <w:br/>
        <w:tab/>
        <w:t>C’est oublier beaucoup d’évidences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 Que le sol est en équilibre thermique, à défaut d’être en équilibre radiatif. Donc il ne chauffe pas, et ce depuis des millénaires. Il y a pourtant des gaz à effet de serre dans l’atmosphère depuis des millénaires.</w:t>
      </w:r>
    </w:p>
    <w:p>
      <w:pPr>
        <w:pStyle w:val="Normal"/>
        <w:jc w:val="both"/>
        <w:rPr/>
      </w:pPr>
      <w:r>
        <w:rPr>
          <w:rFonts w:ascii="Times New Roman" w:hAnsi="Times New Roman"/>
          <w:sz w:val="22"/>
          <w:szCs w:val="22"/>
        </w:rPr>
        <w:t xml:space="preserve">                                                                                                                                                                             </w:t>
      </w:r>
    </w:p>
    <w:p>
      <w:pPr>
        <w:pStyle w:val="Normal"/>
        <w:jc w:val="both"/>
        <w:rPr/>
      </w:pPr>
      <w:r>
        <w:rPr>
          <w:rFonts w:ascii="Times New Roman" w:hAnsi="Times New Roman"/>
          <w:sz w:val="22"/>
          <w:szCs w:val="22"/>
        </w:rPr>
        <w:tab/>
        <w:t xml:space="preserve">- Que l’opacité effectivement très importante de l’atmosphère et due aux gaz à effet de serre a pour conséquence que la basse atmosphère chauffe par rayonnement. Elle ne saurait en effet avoir pour conséquence que le sol rayonne moins, argument absurde souvent invoqué. Un rayonnement qui est sorti du sol et qui est ensuite absorbé, fut-ce à 40 cm du sol , est un rayonnement </w:t>
      </w:r>
      <w:r>
        <w:rPr>
          <w:rFonts w:ascii="Times New Roman" w:hAnsi="Times New Roman"/>
          <w:b/>
          <w:bCs/>
          <w:sz w:val="22"/>
          <w:szCs w:val="22"/>
        </w:rPr>
        <w:t>qui est sorti du sol.</w:t>
      </w:r>
      <w:r>
        <w:rPr>
          <w:rFonts w:ascii="Times New Roman" w:hAnsi="Times New Roman"/>
          <w:sz w:val="22"/>
          <w:szCs w:val="22"/>
        </w:rPr>
        <w:t xml:space="preserve"> Considérer qu’il n’est pas sorti est un raisonnement extraterrestre. S’il ne sortait pas du sol, il ne serait pas absorbé ! C’est l’évidence même.</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 Que les gaz à effet de serre ne rayonnent que lorsqu’ils sont soumis à de faibles pressions. C’est en haut de l’atmosphère qu’ils se mettent à rayonner de façon significative. En bas de l’atmosphère, la pression est telle qu’ils ne peuvent rayonner statistiquement que de façon négligeable. Cela signifie que le rayonnement d’un gaz à effet de serre est minimum en bas de l’atmosphère et maximum en haut. Certaines présentations contredisent cette constatation pourtant vérifiée dans les laboratoires. Dans le bas de l’atmosphère, tout le rayonnement absorbé serait renvoyé par rayonnement. Ceci contredit les propriétés moléculaires des gaz susceptibles d’absorber un rayonnement. Dans de tels gaz, le rayonnement provoque, surtout à forte pression des collisions en chaîne entre les molécules, et cela signifie très clairement que ces gaz chauffent et ne rayonnent justement pas ou de façon négligeable.</w:t>
      </w:r>
    </w:p>
    <w:p>
      <w:pPr>
        <w:pStyle w:val="Normal"/>
        <w:jc w:val="both"/>
        <w:rPr/>
      </w:pPr>
      <w:r>
        <w:rPr>
          <w:rFonts w:ascii="Times New Roman" w:hAnsi="Times New Roman"/>
          <w:sz w:val="22"/>
          <w:szCs w:val="22"/>
        </w:rPr>
        <w:br/>
        <w:t xml:space="preserve">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rFonts w:ascii="Times New Roman" w:hAnsi="Times New Roman"/>
          <w:b/>
          <w:b/>
          <w:bCs/>
          <w:sz w:val="26"/>
          <w:szCs w:val="26"/>
        </w:rPr>
      </w:pPr>
      <w:r>
        <w:rPr>
          <w:rFonts w:ascii="Times New Roman" w:hAnsi="Times New Roman"/>
          <w:b/>
          <w:bCs/>
          <w:sz w:val="26"/>
          <w:szCs w:val="26"/>
        </w:rPr>
        <w:t xml:space="preserve">3-3 Le vrai rôle des gaz à effet de serre :                                                                                                </w:t>
      </w:r>
    </w:p>
    <w:p>
      <w:pPr>
        <w:pStyle w:val="Normal"/>
        <w:jc w:val="both"/>
        <w:rPr>
          <w:rFonts w:ascii="Times New Roman" w:hAnsi="Times New Roman"/>
          <w:b/>
          <w:b/>
          <w:bCs/>
          <w:sz w:val="26"/>
          <w:szCs w:val="26"/>
        </w:rPr>
      </w:pPr>
      <w:r>
        <w:rPr>
          <w:rFonts w:ascii="Times New Roman" w:hAnsi="Times New Roman"/>
          <w:b/>
          <w:bCs/>
          <w:sz w:val="26"/>
          <w:szCs w:val="26"/>
        </w:rPr>
      </w:r>
    </w:p>
    <w:p>
      <w:pPr>
        <w:pStyle w:val="Normal"/>
        <w:jc w:val="both"/>
        <w:rPr/>
      </w:pPr>
      <w:r>
        <w:rPr/>
        <w:tab/>
      </w:r>
      <w:r>
        <w:rPr>
          <w:rFonts w:ascii="Times New Roman" w:hAnsi="Times New Roman"/>
          <w:sz w:val="22"/>
          <w:szCs w:val="22"/>
        </w:rPr>
        <w:t xml:space="preserve">L’existence d’un hypothétique « effet de serre » naturel est donc sans aucun rapport avec les constatations que nous venons de faire.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pPr>
      <w:r>
        <w:rPr>
          <w:rFonts w:ascii="Times New Roman" w:hAnsi="Times New Roman"/>
          <w:sz w:val="22"/>
          <w:szCs w:val="22"/>
        </w:rPr>
        <w:tab/>
        <w:t>Par contre l’existence de gaz susceptibles d’absorber de la chaleur et de la transporter tous azimuts autour de la terre contribue fortement, notamment en ce qui concerne la vapeur d’eau et plus accessoirement en ce qui concerne le CO</w:t>
      </w:r>
      <w:r>
        <w:rPr>
          <w:rFonts w:ascii="Times New Roman" w:hAnsi="Times New Roman"/>
          <w:sz w:val="22"/>
          <w:szCs w:val="22"/>
          <w:vertAlign w:val="subscript"/>
        </w:rPr>
        <w:t>2</w:t>
      </w:r>
      <w:r>
        <w:rPr>
          <w:rFonts w:ascii="Times New Roman" w:hAnsi="Times New Roman"/>
          <w:sz w:val="22"/>
          <w:szCs w:val="22"/>
        </w:rPr>
        <w:t>, à l’existence même du double équilibre évoqué. Celui-ci suppose en effet le « passage » en peu de temps d’un rayonnement solaire qui entre de façon non homogène, sur un seul côté de la terre, à un rayonnement IR qui sort au contraire de façon homogène sur l’ensemble de la sphère terrestre. C’est là le rôle essentiel et même capital que jouent les gaz dits à effet de serre. Ils contribuent fortement à ce passage, qui n’est nullement évident au départ. La présence des gaz à effet de serre facilite voire rend possible un tel passage.</w:t>
      </w:r>
    </w:p>
    <w:p>
      <w:pPr>
        <w:pStyle w:val="Normal"/>
        <w:jc w:val="both"/>
        <w:rPr/>
      </w:pPr>
      <w:r>
        <w:rPr>
          <w:rFonts w:ascii="Times New Roman" w:hAnsi="Times New Roman"/>
          <w:sz w:val="22"/>
          <w:szCs w:val="22"/>
        </w:rPr>
        <w:br/>
        <w:tab/>
        <w:t xml:space="preserve">Par contre, ils ne contribuent absolument pas à une augmentation autre que négligeable de la température sur terre, conformément au fait évident que </w:t>
      </w:r>
      <w:r>
        <w:rPr>
          <w:rFonts w:ascii="Times New Roman" w:hAnsi="Times New Roman"/>
          <w:b/>
          <w:bCs/>
          <w:sz w:val="22"/>
          <w:szCs w:val="22"/>
        </w:rPr>
        <w:t>ce ne sont pas des sources de chaleur</w:t>
      </w:r>
      <w:r>
        <w:rPr>
          <w:rFonts w:ascii="Times New Roman" w:hAnsi="Times New Roman"/>
          <w:sz w:val="22"/>
          <w:szCs w:val="22"/>
        </w:rPr>
        <w:t>.</w:t>
      </w:r>
    </w:p>
    <w:p>
      <w:pPr>
        <w:pStyle w:val="Normal"/>
        <w:jc w:val="both"/>
        <w:rPr>
          <w:rFonts w:ascii="Times New Roman" w:hAnsi="Times New Roman"/>
          <w:b/>
          <w:b/>
          <w:bCs/>
          <w:sz w:val="22"/>
          <w:szCs w:val="22"/>
        </w:rPr>
      </w:pPr>
      <w:r>
        <w:rPr>
          <w:rFonts w:ascii="Times New Roman" w:hAnsi="Times New Roman"/>
          <w:b/>
          <w:bCs/>
          <w:sz w:val="22"/>
          <w:szCs w:val="22"/>
        </w:rPr>
      </w:r>
    </w:p>
    <w:p>
      <w:pPr>
        <w:pStyle w:val="Normal"/>
        <w:jc w:val="both"/>
        <w:rPr/>
      </w:pPr>
      <w:r>
        <w:rPr>
          <w:rFonts w:ascii="Times New Roman" w:hAnsi="Times New Roman"/>
          <w:b/>
          <w:bCs/>
          <w:sz w:val="26"/>
          <w:szCs w:val="26"/>
        </w:rPr>
        <w:t xml:space="preserve"> </w:t>
      </w:r>
    </w:p>
    <w:p>
      <w:pPr>
        <w:pStyle w:val="Normal"/>
        <w:jc w:val="both"/>
        <w:rPr/>
      </w:pPr>
      <w:r>
        <w:rPr>
          <w:rFonts w:ascii="Times New Roman" w:hAnsi="Times New Roman"/>
          <w:b/>
          <w:bCs/>
          <w:sz w:val="30"/>
          <w:szCs w:val="30"/>
        </w:rPr>
        <w:t>4 – Conclusion générale :</w:t>
      </w:r>
    </w:p>
    <w:p>
      <w:pPr>
        <w:pStyle w:val="Normal"/>
        <w:jc w:val="both"/>
        <w:rPr/>
      </w:pPr>
      <w:r>
        <w:rPr/>
        <w:t xml:space="preserve"> </w:t>
      </w:r>
      <w:r>
        <w:rPr/>
        <w:br/>
      </w:r>
      <w:r>
        <w:rPr>
          <w:rFonts w:ascii="Times New Roman" w:hAnsi="Times New Roman"/>
          <w:sz w:val="22"/>
          <w:szCs w:val="22"/>
        </w:rPr>
        <w:br/>
        <w:tab/>
        <w:t>Ainsi s’achève la réfutation du chiffre de -18°C, qui n’a ainsi que nous l’avons annoncé, aucun rapport avec la température qui pourrait régner au sol sur la terre, que ce soit du côté du jour ou du côté de la nuit. Interpréter ce chiffre comme étant la température qui pourrait régner au sol, en l’absence de gaz à effet de serre est en dehors de la science, en raison des cinq erreurs évoquées dans cet article (erreur de l’enseignant, erreur signalée par Gerlich, erreur surfacique, confusion entre une valeur maximum et une valeur moyenne, application à une terre chimérique).</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En fait, le seul calcul correct qui peut être entrepris pour estimer la température au sol et non pas la température du système entier doit l’être avec des intégrales, et seulement du côté éclairé. Ce qui se passe la nuit dépend de façon particulièrement aiguë de la nature de la surface du globe étudié, de la présence ou non de liquide comme l’eau à la surface et de la présence ou non d’une atmosphère. La clé de ce qui se passe la nuit n’est pas le rayonnement entrant, qui n’existe pas de ce côté, mais l’inertie thermique du système, c’est-à-dire sa capacité à conserver ou non la chaleur issue du rayonnement le jour. S’il y a présence d’une atmosphère, ce qui est le cas de la terre, il faut tenir compte également de la pression exercée à la surface du sol par l’existence de cette atmosphère, c’est-à-dire tenir compte du gradient thermique qui mesure la différence – variable – entre la température au TOA et la température au sol.</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tab/>
        <w:t xml:space="preserve">Les gaz à effet de serre, </w:t>
      </w:r>
      <w:r>
        <w:rPr>
          <w:rFonts w:ascii="Times New Roman" w:hAnsi="Times New Roman"/>
          <w:sz w:val="22"/>
          <w:szCs w:val="22"/>
          <w:shd w:fill="auto" w:val="clear"/>
        </w:rPr>
        <w:t xml:space="preserve">quant </w:t>
      </w:r>
      <w:r>
        <w:rPr>
          <w:rFonts w:ascii="Times New Roman" w:hAnsi="Times New Roman"/>
          <w:sz w:val="22"/>
          <w:szCs w:val="22"/>
        </w:rPr>
        <w:t>à eux, jouent un rôle dans la répartition de la chaleur sur toute</w:t>
      </w:r>
      <w:r>
        <w:rPr>
          <w:rFonts w:ascii="Times New Roman" w:hAnsi="Times New Roman"/>
          <w:color w:val="000000"/>
          <w:sz w:val="22"/>
          <w:szCs w:val="22"/>
        </w:rPr>
        <w:t xml:space="preserve"> la Terre</w:t>
      </w:r>
      <w:r>
        <w:rPr>
          <w:rFonts w:ascii="Times New Roman" w:hAnsi="Times New Roman"/>
          <w:color w:val="C00000"/>
          <w:sz w:val="22"/>
          <w:szCs w:val="22"/>
        </w:rPr>
        <w:t>,</w:t>
      </w:r>
      <w:r>
        <w:rPr>
          <w:rFonts w:ascii="Times New Roman" w:hAnsi="Times New Roman"/>
          <w:sz w:val="22"/>
          <w:szCs w:val="22"/>
        </w:rPr>
        <w:t xml:space="preserve"> dans la diminution considérable de l’écart entre les températures minimales et maximales, par rapport à l’écart qui règne entre ces valeurs sur la lune, et plus spécifiquement, en ce qui concerne la vapeur d’eau, dans le refroidissement de la terre, qui est assuré précisément par </w:t>
      </w:r>
      <w:r>
        <w:rPr>
          <w:rFonts w:ascii="Times New Roman" w:hAnsi="Times New Roman"/>
          <w:color w:val="000000"/>
          <w:sz w:val="22"/>
          <w:szCs w:val="22"/>
        </w:rPr>
        <w:t>la couche la plus élevée d’épaisseur optique 1 ou 2 de ce</w:t>
      </w:r>
      <w:r>
        <w:rPr>
          <w:rFonts w:ascii="Times New Roman" w:hAnsi="Times New Roman"/>
          <w:color w:val="C00000"/>
          <w:sz w:val="22"/>
          <w:szCs w:val="22"/>
        </w:rPr>
        <w:t xml:space="preserve"> </w:t>
      </w:r>
      <w:r>
        <w:rPr>
          <w:rFonts w:ascii="Times New Roman" w:hAnsi="Times New Roman"/>
          <w:sz w:val="22"/>
          <w:szCs w:val="22"/>
        </w:rPr>
        <w:t>gaz à effet de serre. Le CO</w:t>
      </w:r>
      <w:r>
        <w:rPr>
          <w:vertAlign w:val="subscript"/>
        </w:rPr>
        <w:t>2</w:t>
      </w:r>
      <w:r>
        <w:rPr>
          <w:rFonts w:ascii="Times New Roman" w:hAnsi="Times New Roman"/>
          <w:sz w:val="22"/>
          <w:szCs w:val="22"/>
        </w:rPr>
        <w:t xml:space="preserve"> quand à lui n’intervient que de façon tellement minime que son influence n’est probablement m</w:t>
      </w:r>
      <w:r>
        <w:rPr>
          <w:rFonts w:eastAsia="Noto Serif CJK SC" w:cs="Lohit Devanagari" w:ascii="Times New Roman" w:hAnsi="Times New Roman"/>
          <w:color w:val="auto"/>
          <w:kern w:val="2"/>
          <w:sz w:val="22"/>
          <w:szCs w:val="22"/>
          <w:lang w:val="fr-FR" w:eastAsia="zh-CN" w:bidi="hi-IN"/>
        </w:rPr>
        <w:t xml:space="preserve">ême pas mesurable. </w:t>
      </w:r>
    </w:p>
    <w:p>
      <w:pPr>
        <w:pStyle w:val="Normal"/>
        <w:jc w:val="both"/>
        <w:rPr>
          <w:rFonts w:ascii="Times New Roman" w:hAnsi="Times New Roman"/>
          <w:sz w:val="22"/>
          <w:szCs w:val="22"/>
        </w:rPr>
      </w:pPr>
      <w:r>
        <w:rPr>
          <w:rFonts w:ascii="Times New Roman" w:hAnsi="Times New Roman"/>
          <w:b/>
          <w:bCs/>
        </w:rPr>
        <w:t xml:space="preserve">                                                                                                                                       </w:t>
      </w:r>
      <w:r>
        <w:rPr>
          <w:rFonts w:ascii="Times New Roman" w:hAnsi="Times New Roman"/>
          <w:b/>
          <w:bCs/>
        </w:rPr>
        <w:br/>
        <w:tab/>
        <w:t>S</w:t>
      </w:r>
      <w:r>
        <w:rPr>
          <w:rFonts w:ascii="Times New Roman" w:hAnsi="Times New Roman"/>
          <w:sz w:val="22"/>
          <w:szCs w:val="22"/>
        </w:rPr>
        <w:t>upposer l’existence d’un effet de serre naturel est donc en dehors de la science. C’est le soleil qui explique la température de 15 °C le jour et c’est l’inertie thermique du système océan-atmosphère qui explique que cette température se maintient quasiment pendant la nuit.</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b/>
          <w:bCs/>
        </w:rPr>
        <w:t>Référenc</w:t>
      </w:r>
      <w:bookmarkStart w:id="9" w:name="tw-target11"/>
      <w:bookmarkEnd w:id="9"/>
      <w:r>
        <w:rPr>
          <w:rFonts w:ascii="Times New Roman" w:hAnsi="Times New Roman"/>
          <w:b/>
          <w:bCs/>
        </w:rPr>
        <w:t>es citées dans notre article :</w:t>
      </w:r>
    </w:p>
    <w:p>
      <w:pPr>
        <w:pStyle w:val="Normal"/>
        <w:jc w:val="both"/>
        <w:rPr>
          <w:rFonts w:ascii="Times New Roman" w:hAnsi="Times New Roman"/>
          <w:sz w:val="22"/>
          <w:szCs w:val="22"/>
        </w:rPr>
      </w:pPr>
      <w:r>
        <w:rPr>
          <w:rFonts w:ascii="Times New Roman" w:hAnsi="Times New Roman"/>
          <w:sz w:val="22"/>
          <w:szCs w:val="22"/>
        </w:rPr>
      </w:r>
    </w:p>
    <w:p>
      <w:pPr>
        <w:pStyle w:val="Normal"/>
        <w:rPr/>
      </w:pPr>
      <w:r>
        <w:rPr/>
        <w:t>[1] J. Fourier, “Mémoire sur les températures du globe terrestre et des espaces planétaires”,</w:t>
      </w:r>
    </w:p>
    <w:p>
      <w:pPr>
        <w:pStyle w:val="Pieddepage"/>
        <w:rPr/>
      </w:pPr>
      <w:r>
        <w:rPr>
          <w:i/>
          <w:iCs/>
        </w:rPr>
        <w:t xml:space="preserve">Mémoires de l’Académie Royale des Sciences </w:t>
      </w:r>
      <w:r>
        <w:rPr/>
        <w:t>7, 569-604 (1824)</w:t>
      </w:r>
    </w:p>
    <w:p>
      <w:pPr>
        <w:pStyle w:val="Pieddepage"/>
        <w:rPr/>
      </w:pPr>
      <w:hyperlink r:id="rId15">
        <w:r>
          <w:rPr>
            <w:rStyle w:val="LienInternet"/>
          </w:rPr>
          <w:t>http://www.bibnum.education.fr/sciencesdelaterre/climatologie/la-theorie-de-la-chaleur-de-fourier-appliquee-la-temperature-de-la-te</w:t>
        </w:r>
      </w:hyperlink>
      <w:r>
        <w:rPr/>
        <w:t xml:space="preserve"> </w:t>
      </w:r>
    </w:p>
    <w:p>
      <w:pPr>
        <w:pStyle w:val="Pieddepage"/>
        <w:rPr/>
      </w:pPr>
      <w:r>
        <w:rPr/>
      </w:r>
    </w:p>
    <w:p>
      <w:pPr>
        <w:pStyle w:val="Pieddepage"/>
        <w:rPr/>
      </w:pPr>
      <w:r>
        <w:rPr/>
        <w:t>[2] J. Fourier, “Remarques générales sur les températures du globe terrestre et des espaces</w:t>
      </w:r>
    </w:p>
    <w:p>
      <w:pPr>
        <w:pStyle w:val="Pieddepage"/>
        <w:rPr/>
      </w:pPr>
      <w:r>
        <w:rPr/>
        <w:t xml:space="preserve">planétaires”, </w:t>
      </w:r>
      <w:r>
        <w:rPr>
          <w:i/>
          <w:iCs/>
        </w:rPr>
        <w:t xml:space="preserve">Annales de Chimie et de Physique </w:t>
      </w:r>
      <w:r>
        <w:rPr/>
        <w:t>27, 136-167 (1824)</w:t>
      </w:r>
    </w:p>
    <w:p>
      <w:pPr>
        <w:pStyle w:val="Pieddepage"/>
        <w:rPr/>
      </w:pPr>
      <w:r>
        <w:rPr/>
      </w:r>
    </w:p>
    <w:p>
      <w:pPr>
        <w:pStyle w:val="Pieddepage"/>
        <w:rPr>
          <w:lang w:val="en-US"/>
        </w:rPr>
      </w:pPr>
      <w:r>
        <w:rPr>
          <w:lang w:val="en-US"/>
        </w:rPr>
        <w:t xml:space="preserve">[3] J. Tyndall, “On the Absorption and Radiation of Heat by Gases and Vapours . . .”,                                                                                                                                                           </w:t>
      </w:r>
    </w:p>
    <w:p>
      <w:pPr>
        <w:pStyle w:val="Pieddepage"/>
        <w:rPr>
          <w:lang w:val="en-US"/>
        </w:rPr>
      </w:pPr>
      <w:r>
        <w:rPr>
          <w:i/>
          <w:iCs/>
          <w:lang w:val="en-US"/>
        </w:rPr>
        <w:t>Philosophical Magazine ser. 4</w:t>
      </w:r>
      <w:r>
        <w:rPr>
          <w:lang w:val="en-US"/>
        </w:rPr>
        <w:t xml:space="preserve"> 22 169-194 (1861)</w:t>
      </w:r>
    </w:p>
    <w:p>
      <w:pPr>
        <w:pStyle w:val="Pieddepage"/>
        <w:rPr>
          <w:lang w:val="en-US"/>
        </w:rPr>
      </w:pPr>
      <w:r>
        <w:rPr>
          <w:lang w:val="en-US"/>
        </w:rPr>
      </w:r>
    </w:p>
    <w:p>
      <w:pPr>
        <w:pStyle w:val="Pieddepage"/>
        <w:rPr>
          <w:lang w:val="en-US"/>
        </w:rPr>
      </w:pPr>
      <w:r>
        <w:rPr>
          <w:lang w:val="en-US"/>
        </w:rPr>
        <w:t xml:space="preserve">[4] J. Tyndall, “On Radiation through the Earth’s Atmosphere”, </w:t>
      </w:r>
      <w:r>
        <w:rPr>
          <w:i/>
          <w:iCs/>
          <w:lang w:val="en-US"/>
        </w:rPr>
        <w:t>Philosophical Magazine</w:t>
      </w:r>
    </w:p>
    <w:p>
      <w:pPr>
        <w:pStyle w:val="Pieddepage"/>
        <w:rPr>
          <w:lang w:val="en-US"/>
        </w:rPr>
      </w:pPr>
      <w:r>
        <w:rPr>
          <w:i/>
          <w:iCs/>
          <w:lang w:val="en-US"/>
        </w:rPr>
        <w:t xml:space="preserve">ser. 4 </w:t>
      </w:r>
      <w:r>
        <w:rPr>
          <w:lang w:val="en-US"/>
        </w:rPr>
        <w:t>25, 200-206 (1863)</w:t>
      </w:r>
    </w:p>
    <w:p>
      <w:pPr>
        <w:pStyle w:val="Pieddepage"/>
        <w:rPr>
          <w:lang w:val="en-US"/>
        </w:rPr>
      </w:pPr>
      <w:r>
        <w:rPr>
          <w:lang w:val="en-US"/>
        </w:rPr>
      </w:r>
    </w:p>
    <w:p>
      <w:pPr>
        <w:pStyle w:val="Pieddepage"/>
        <w:rPr>
          <w:lang w:val="en-US"/>
        </w:rPr>
      </w:pPr>
      <w:r>
        <w:rPr>
          <w:lang w:val="en-US"/>
        </w:rPr>
        <w:t xml:space="preserve">[5] J. Tyndall, “On the Relation of Radiant Heat to Aqueous Vapor”, </w:t>
      </w:r>
      <w:r>
        <w:rPr>
          <w:i/>
          <w:iCs/>
          <w:lang w:val="en-US"/>
        </w:rPr>
        <w:t>Philosophical Mag-</w:t>
      </w:r>
    </w:p>
    <w:p>
      <w:pPr>
        <w:pStyle w:val="Pieddepage"/>
        <w:rPr>
          <w:lang w:val="en-US"/>
        </w:rPr>
      </w:pPr>
      <w:r>
        <w:rPr>
          <w:i/>
          <w:iCs/>
          <w:lang w:val="en-US"/>
        </w:rPr>
        <w:t xml:space="preserve">azine ser. 4 </w:t>
      </w:r>
      <w:r>
        <w:rPr>
          <w:lang w:val="en-US"/>
        </w:rPr>
        <w:t>26, 30-54 (1863)</w:t>
      </w:r>
    </w:p>
    <w:p>
      <w:pPr>
        <w:pStyle w:val="Pieddepage"/>
        <w:rPr>
          <w:lang w:val="en-US"/>
        </w:rPr>
      </w:pPr>
      <w:r>
        <w:rPr>
          <w:lang w:val="en-US"/>
        </w:rPr>
      </w:r>
    </w:p>
    <w:p>
      <w:pPr>
        <w:pStyle w:val="Pieddepage"/>
        <w:rPr>
          <w:lang w:val="en-US"/>
        </w:rPr>
      </w:pPr>
      <w:r>
        <w:rPr>
          <w:lang w:val="en-US"/>
        </w:rPr>
        <w:t xml:space="preserve">[6] J. Tyndall, </w:t>
      </w:r>
      <w:r>
        <w:rPr>
          <w:i/>
          <w:iCs/>
          <w:lang w:val="en-US"/>
        </w:rPr>
        <w:t xml:space="preserve">Contributions to Molecular Physics in the Domain of Radiant Heat </w:t>
      </w:r>
      <w:r>
        <w:rPr>
          <w:lang w:val="en-US"/>
        </w:rPr>
        <w:t>(Apple-</w:t>
      </w:r>
    </w:p>
    <w:p>
      <w:pPr>
        <w:pStyle w:val="Pieddepage"/>
        <w:rPr>
          <w:lang w:val="en-US"/>
        </w:rPr>
      </w:pPr>
      <w:r>
        <w:rPr>
          <w:lang w:val="en-US"/>
        </w:rPr>
        <w:t>ton, New York, 1873)</w:t>
      </w:r>
    </w:p>
    <w:p>
      <w:pPr>
        <w:pStyle w:val="Pieddepage"/>
        <w:rPr>
          <w:lang w:val="en-US"/>
        </w:rPr>
      </w:pPr>
      <w:r>
        <w:rPr>
          <w:lang w:val="en-US"/>
        </w:rPr>
      </w:r>
    </w:p>
    <w:p>
      <w:pPr>
        <w:pStyle w:val="Pieddepage"/>
        <w:rPr>
          <w:lang w:val="en-US"/>
        </w:rPr>
      </w:pPr>
      <w:r>
        <w:rPr>
          <w:lang w:val="en-US"/>
        </w:rPr>
        <w:t>[7] J. Tyndall, “Further Researches on the Absorption and Radiation of Heat by Gaseous</w:t>
      </w:r>
    </w:p>
    <w:p>
      <w:pPr>
        <w:pStyle w:val="Pieddepage"/>
        <w:rPr>
          <w:lang w:val="en-US"/>
        </w:rPr>
      </w:pPr>
      <w:r>
        <w:rPr>
          <w:lang w:val="en-US"/>
        </w:rPr>
        <w:t xml:space="preserve">Matter (1862)” in </w:t>
      </w:r>
      <w:r>
        <w:rPr>
          <w:i/>
          <w:iCs/>
          <w:lang w:val="en-US"/>
        </w:rPr>
        <w:t>Contributions to Molecular Physics in the Domain of Radiant Heat</w:t>
      </w:r>
    </w:p>
    <w:p>
      <w:pPr>
        <w:pStyle w:val="Pieddepage"/>
        <w:rPr>
          <w:lang w:val="en-US"/>
        </w:rPr>
      </w:pPr>
      <w:r>
        <w:rPr>
          <w:lang w:val="en-US"/>
        </w:rPr>
        <w:t xml:space="preserve">(Appleton, New York, 1873), pp. 69-121.    </w:t>
      </w:r>
    </w:p>
    <w:p>
      <w:pPr>
        <w:pStyle w:val="Pieddepage"/>
        <w:rPr>
          <w:lang w:val="en-US"/>
        </w:rPr>
      </w:pPr>
      <w:r>
        <w:rPr>
          <w:lang w:val="en-US"/>
        </w:rPr>
        <w:t xml:space="preserve">                                                                                                                                                        </w:t>
      </w:r>
    </w:p>
    <w:p>
      <w:pPr>
        <w:pStyle w:val="Pieddepage"/>
        <w:rPr>
          <w:lang w:val="en-US"/>
        </w:rPr>
      </w:pPr>
      <w:r>
        <w:rPr>
          <w:lang w:val="en-US"/>
        </w:rPr>
        <w:t>[8] S. Arrhenius, “On the Influence of Carbonic Acid in the Air Upon the Temperature of</w:t>
      </w:r>
    </w:p>
    <w:p>
      <w:pPr>
        <w:pStyle w:val="Pieddepage"/>
        <w:rPr>
          <w:lang w:val="de-DE"/>
        </w:rPr>
      </w:pPr>
      <w:r>
        <w:rPr>
          <w:lang w:val="de-DE"/>
        </w:rPr>
        <w:t xml:space="preserve">the Ground”, </w:t>
      </w:r>
      <w:r>
        <w:rPr>
          <w:i/>
          <w:iCs/>
          <w:lang w:val="de-DE"/>
        </w:rPr>
        <w:t>Philosophical Magazine</w:t>
      </w:r>
      <w:r>
        <w:rPr>
          <w:lang w:val="de-DE"/>
        </w:rPr>
        <w:t xml:space="preserve"> 41, 237-276 (1896)</w:t>
      </w:r>
    </w:p>
    <w:p>
      <w:pPr>
        <w:pStyle w:val="Pieddepage"/>
        <w:rPr>
          <w:lang w:val="de-DE"/>
        </w:rPr>
      </w:pPr>
      <w:r>
        <w:rPr>
          <w:lang w:val="de-DE"/>
        </w:rPr>
      </w:r>
    </w:p>
    <w:p>
      <w:pPr>
        <w:pStyle w:val="Pieddepage"/>
        <w:rPr>
          <w:lang w:val="de-DE"/>
        </w:rPr>
      </w:pPr>
      <w:r>
        <w:rPr>
          <w:lang w:val="de-DE"/>
        </w:rPr>
        <w:t>[9] S. Arrhenius, “Über Die Wärmeabsorption Durch Kohlensäure Und Ihren Einfluss Auf</w:t>
      </w:r>
    </w:p>
    <w:p>
      <w:pPr>
        <w:pStyle w:val="Pieddepage"/>
        <w:rPr>
          <w:lang w:val="en-US"/>
        </w:rPr>
      </w:pPr>
      <w:r>
        <w:rPr>
          <w:lang w:val="en-US"/>
        </w:rPr>
        <w:t>Die Temperatur Der Erdoberfläche [On heat absorption of carbonic acid and its influence</w:t>
      </w:r>
    </w:p>
    <w:p>
      <w:pPr>
        <w:pStyle w:val="Pieddepage"/>
        <w:rPr>
          <w:lang w:val="en-US"/>
        </w:rPr>
      </w:pPr>
      <w:r>
        <w:rPr>
          <w:lang w:val="en-US"/>
        </w:rPr>
        <w:t xml:space="preserve">on the temperature of Earth’s surface]”, </w:t>
      </w:r>
      <w:r>
        <w:rPr>
          <w:i/>
          <w:iCs/>
          <w:lang w:val="en-US"/>
        </w:rPr>
        <w:t>Förhandlingar Svenska Vetenskapsakademiens</w:t>
      </w:r>
    </w:p>
    <w:p>
      <w:pPr>
        <w:pStyle w:val="Pieddepage"/>
        <w:jc w:val="both"/>
        <w:rPr>
          <w:lang w:val="de-DE"/>
        </w:rPr>
      </w:pPr>
      <w:r>
        <w:rPr>
          <w:lang w:val="de-DE"/>
        </w:rPr>
        <w:t>58, 25-58 (1901)</w:t>
      </w:r>
    </w:p>
    <w:p>
      <w:pPr>
        <w:pStyle w:val="Normal"/>
        <w:jc w:val="both"/>
        <w:rPr>
          <w:lang w:val="de-DE"/>
        </w:rPr>
      </w:pPr>
      <w:r>
        <w:rPr>
          <w:lang w:val="de-DE"/>
        </w:rPr>
      </w:r>
    </w:p>
    <w:p>
      <w:pPr>
        <w:pStyle w:val="Pieddepage"/>
        <w:rPr>
          <w:lang w:val="de-DE"/>
        </w:rPr>
      </w:pPr>
      <w:r>
        <w:rPr>
          <w:lang w:val="de-DE"/>
        </w:rPr>
        <w:t>[10] S. Arrhenius, “Die vermutliche Ursache der Klimaschwankungen” [The possible cause</w:t>
      </w:r>
    </w:p>
    <w:p>
      <w:pPr>
        <w:pStyle w:val="Pieddepage"/>
        <w:rPr>
          <w:lang w:val="en-US"/>
        </w:rPr>
      </w:pPr>
      <w:r>
        <w:rPr>
          <w:lang w:val="en-US"/>
        </w:rPr>
        <w:t xml:space="preserve">for climate variability], </w:t>
      </w:r>
      <w:r>
        <w:rPr>
          <w:i/>
          <w:iCs/>
          <w:lang w:val="en-US"/>
        </w:rPr>
        <w:t xml:space="preserve">Meddelanden från K. Vetenskapsakademiens Nobelinstitut, </w:t>
      </w:r>
      <w:r>
        <w:rPr>
          <w:lang w:val="en-US"/>
        </w:rPr>
        <w:t>1 (2),</w:t>
      </w:r>
    </w:p>
    <w:p>
      <w:pPr>
        <w:pStyle w:val="Pieddepage"/>
        <w:rPr>
          <w:lang w:val="en-US"/>
        </w:rPr>
      </w:pPr>
      <w:r>
        <w:rPr>
          <w:lang w:val="en-US"/>
        </w:rPr>
        <w:t>1 (1906)</w:t>
      </w:r>
    </w:p>
    <w:p>
      <w:pPr>
        <w:pStyle w:val="Pieddepage"/>
        <w:rPr>
          <w:lang w:val="en-US"/>
        </w:rPr>
      </w:pPr>
      <w:r>
        <w:rPr>
          <w:lang w:val="en-US"/>
        </w:rPr>
        <w:t xml:space="preserve"> </w:t>
      </w:r>
    </w:p>
    <w:p>
      <w:pPr>
        <w:pStyle w:val="Pieddepage"/>
        <w:rPr>
          <w:lang w:val="en-US"/>
        </w:rPr>
      </w:pPr>
      <w:r>
        <w:rPr>
          <w:lang w:val="en-US"/>
        </w:rPr>
        <w:t>[11] Gerhard Gerlich and Ralf D. Tscheuschner, “</w:t>
      </w:r>
      <w:r>
        <w:rPr>
          <w:i/>
          <w:iCs/>
          <w:lang w:val="en-US"/>
        </w:rPr>
        <w:t>Falsification Of The Atmospheric CO</w:t>
      </w:r>
      <w:r>
        <w:rPr>
          <w:i/>
          <w:iCs/>
          <w:vertAlign w:val="subscript"/>
          <w:lang w:val="en-US"/>
        </w:rPr>
        <w:t>2</w:t>
      </w:r>
      <w:r>
        <w:rPr>
          <w:i/>
          <w:iCs/>
          <w:lang w:val="en-US"/>
        </w:rPr>
        <w:t xml:space="preserve"> Greenhouse Effects Within The Frame Of Physics</w:t>
      </w:r>
      <w:r>
        <w:rPr>
          <w:lang w:val="en-US"/>
        </w:rPr>
        <w:t>” by arXiv:0707.1161 (2007).</w:t>
      </w:r>
    </w:p>
    <w:p>
      <w:pPr>
        <w:pStyle w:val="Pieddepage"/>
        <w:rPr>
          <w:lang w:val="en-US"/>
        </w:rPr>
      </w:pPr>
      <w:r>
        <w:rPr>
          <w:lang w:val="en-US"/>
        </w:rPr>
      </w:r>
    </w:p>
    <w:p>
      <w:pPr>
        <w:pStyle w:val="Normal"/>
        <w:jc w:val="both"/>
        <w:rPr>
          <w:b/>
          <w:b/>
          <w:bCs/>
          <w:lang w:val="en-US"/>
        </w:rPr>
      </w:pPr>
      <w:r>
        <w:rPr>
          <w:lang w:val="en-US"/>
        </w:rPr>
        <w:t>[12]</w:t>
      </w:r>
      <w:r>
        <w:rPr>
          <w:b/>
          <w:bCs/>
          <w:lang w:val="en-US"/>
        </w:rPr>
        <w:t xml:space="preserve"> </w:t>
      </w:r>
      <w:r>
        <w:rPr>
          <w:lang w:val="en-US"/>
        </w:rPr>
        <w:t xml:space="preserve">Dana M. Hurley, Menelaos Sarantos, Cesare Grava, Jean-Pierre Williams, Kurt D. Retherford                                                                                                         </w:t>
      </w:r>
    </w:p>
    <w:p>
      <w:pPr>
        <w:pStyle w:val="Normal"/>
        <w:jc w:val="both"/>
        <w:rPr>
          <w:lang w:val="de-DE"/>
        </w:rPr>
      </w:pPr>
      <w:r>
        <w:rPr>
          <w:lang w:val="de-DE"/>
        </w:rPr>
        <w:t>Matthew Siegler, Benjamin Greenhagen, David Paige</w:t>
      </w:r>
    </w:p>
    <w:p>
      <w:pPr>
        <w:pStyle w:val="Normal"/>
        <w:jc w:val="both"/>
        <w:rPr>
          <w:i/>
          <w:i/>
          <w:iCs/>
          <w:lang w:val="en-US"/>
        </w:rPr>
      </w:pPr>
      <w:r>
        <w:rPr>
          <w:i/>
          <w:iCs/>
          <w:lang w:val="en-US"/>
        </w:rPr>
        <w:t>An analytic function of lunar surface temperature for exospheric modeling</w:t>
      </w:r>
    </w:p>
    <w:p>
      <w:pPr>
        <w:pStyle w:val="Normal"/>
        <w:jc w:val="both"/>
        <w:rPr>
          <w:lang w:val="en-US"/>
        </w:rPr>
      </w:pPr>
      <w:r>
        <w:rPr>
          <w:lang w:val="en-US"/>
        </w:rPr>
        <w:t>Icarus 255 (2015) 159–163</w:t>
      </w:r>
    </w:p>
    <w:p>
      <w:pPr>
        <w:pStyle w:val="Normal"/>
        <w:jc w:val="both"/>
        <w:rPr>
          <w:lang w:val="en-US"/>
        </w:rPr>
      </w:pPr>
      <w:r>
        <w:rPr>
          <w:lang w:val="en-US"/>
        </w:rPr>
      </w:r>
    </w:p>
    <w:p>
      <w:pPr>
        <w:pStyle w:val="Pieddepage"/>
        <w:rPr>
          <w:lang w:val="en-US"/>
        </w:rPr>
      </w:pPr>
      <w:r>
        <w:rPr>
          <w:lang w:val="en-US"/>
        </w:rPr>
      </w:r>
    </w:p>
    <w:p>
      <w:pPr>
        <w:pStyle w:val="Pieddepage"/>
        <w:rPr>
          <w:lang w:val="en-US"/>
        </w:rPr>
      </w:pPr>
      <w:r>
        <w:rPr>
          <w:lang w:val="en-US"/>
        </w:rPr>
      </w:r>
    </w:p>
    <w:p>
      <w:pPr>
        <w:pStyle w:val="Pieddepage"/>
        <w:rPr>
          <w:lang w:val="en-US"/>
        </w:rPr>
      </w:pPr>
      <w:r>
        <w:rPr>
          <w:lang w:val="en-US"/>
        </w:rPr>
      </w:r>
    </w:p>
    <w:p>
      <w:pPr>
        <w:pStyle w:val="Pieddepage"/>
        <w:rPr>
          <w:lang w:val="en-US"/>
        </w:rPr>
      </w:pPr>
      <w:r>
        <w:rPr>
          <w:lang w:val="en-US"/>
        </w:rPr>
      </w:r>
    </w:p>
    <w:p>
      <w:pPr>
        <w:pStyle w:val="Pieddepage"/>
        <w:rPr>
          <w:b/>
          <w:b/>
          <w:bCs/>
        </w:rPr>
      </w:pPr>
      <w:r>
        <w:rPr>
          <w:b/>
          <w:bCs/>
          <w:lang w:val="en-US"/>
        </w:rPr>
        <w:t>Autres lectures intéressantes, non citées dans notre article:</w:t>
      </w:r>
    </w:p>
    <w:p>
      <w:pPr>
        <w:pStyle w:val="Pieddepage"/>
        <w:rPr>
          <w:lang w:val="en-US"/>
        </w:rPr>
      </w:pPr>
      <w:r>
        <w:rPr>
          <w:lang w:val="en-US"/>
        </w:rPr>
      </w:r>
    </w:p>
    <w:p>
      <w:pPr>
        <w:pStyle w:val="Pieddepage"/>
        <w:rPr>
          <w:lang w:val="en-US"/>
        </w:rPr>
      </w:pPr>
      <w:r>
        <w:rPr>
          <w:lang w:val="en-US"/>
        </w:rPr>
        <w:t xml:space="preserve">[13] Hermann Harde : </w:t>
      </w:r>
      <w:r>
        <w:rPr>
          <w:i/>
          <w:iCs/>
          <w:lang w:val="en-US"/>
        </w:rPr>
        <w:t xml:space="preserve">Radiation and Heat Transfer in the Atmosphere: A Comprehensive Approach on a Molecular Basis </w:t>
      </w:r>
    </w:p>
    <w:p>
      <w:pPr>
        <w:pStyle w:val="Pieddepage"/>
        <w:rPr>
          <w:lang w:val="en-US"/>
        </w:rPr>
      </w:pPr>
      <w:r>
        <w:rPr>
          <w:lang w:val="en-US"/>
        </w:rPr>
        <w:t>Hindawi Publishing Corporation</w:t>
      </w:r>
    </w:p>
    <w:p>
      <w:pPr>
        <w:pStyle w:val="Pieddepage"/>
        <w:rPr>
          <w:lang w:val="en-US"/>
        </w:rPr>
      </w:pPr>
      <w:r>
        <w:rPr>
          <w:lang w:val="en-US"/>
        </w:rPr>
        <w:t>International Journal of Atmospheric Sciences</w:t>
      </w:r>
    </w:p>
    <w:p>
      <w:pPr>
        <w:pStyle w:val="Pieddepage"/>
        <w:spacing w:before="0" w:after="283"/>
        <w:rPr>
          <w:lang w:val="en-US"/>
        </w:rPr>
      </w:pPr>
      <w:r>
        <w:rPr>
          <w:rFonts w:ascii="Times New Roman" w:hAnsi="Times New Roman"/>
          <w:lang w:val="en-US"/>
        </w:rPr>
        <w:t xml:space="preserve">Volume 2013, Article ID 503727, 26 pages </w:t>
      </w:r>
      <w:r>
        <w:rPr>
          <w:i/>
          <w:iCs/>
          <w:lang w:val="en-US"/>
        </w:rPr>
        <w:t xml:space="preserve">   </w:t>
      </w:r>
    </w:p>
    <w:p>
      <w:pPr>
        <w:pStyle w:val="Pieddepage"/>
        <w:rPr>
          <w:lang w:val="en-US"/>
        </w:rPr>
      </w:pPr>
      <w:r>
        <w:rPr>
          <w:lang w:val="en-US"/>
        </w:rPr>
        <w:t>[14] Hermann Harde, Michael Schnell</w:t>
      </w:r>
      <w:r>
        <w:rPr>
          <w:i/>
          <w:iCs/>
          <w:lang w:val="en-US"/>
        </w:rPr>
        <w:t> </w:t>
      </w:r>
      <w:r>
        <w:rPr>
          <w:lang w:val="en-US"/>
        </w:rPr>
        <w:t xml:space="preserve">: </w:t>
      </w:r>
      <w:r>
        <w:rPr>
          <w:i/>
          <w:iCs/>
          <w:lang w:val="en-US"/>
        </w:rPr>
        <w:t xml:space="preserve">Verification of the Greenhouse Effect in the Laboratory, </w:t>
        <w:br/>
      </w:r>
      <w:r>
        <w:rPr>
          <w:lang w:val="en-US"/>
        </w:rPr>
        <w:t>Science of Climate Change, vol.1.no.2. Dec.16, 2021pp.N4 1-32.</w:t>
      </w:r>
    </w:p>
    <w:p>
      <w:pPr>
        <w:pStyle w:val="Pieddepage"/>
        <w:rPr>
          <w:lang w:val="en-US"/>
        </w:rPr>
      </w:pPr>
      <w:r>
        <w:rPr>
          <w:lang w:val="en-US"/>
        </w:rPr>
      </w:r>
    </w:p>
    <w:p>
      <w:pPr>
        <w:pStyle w:val="Pieddepage"/>
        <w:rPr>
          <w:lang w:val="en-US"/>
        </w:rPr>
      </w:pPr>
      <w:r>
        <w:rPr>
          <w:lang w:val="en-US"/>
        </w:rPr>
        <w:t xml:space="preserve">[15] W. A. van Wijngaarden and W. Happer : </w:t>
      </w:r>
      <w:r>
        <w:rPr>
          <w:i/>
          <w:iCs/>
          <w:lang w:val="en-US"/>
        </w:rPr>
        <w:t xml:space="preserve">Dependence of Earth’s Thermal Radiation on Five Most Abundant Greenhouse Gases </w:t>
      </w:r>
    </w:p>
    <w:p>
      <w:pPr>
        <w:pStyle w:val="Pieddepage"/>
        <w:rPr>
          <w:lang w:val="en-US"/>
        </w:rPr>
      </w:pPr>
      <w:r>
        <w:rPr>
          <w:lang w:val="en-US"/>
        </w:rPr>
        <w:t>arXiv:2006.03098v1 [physics.ao-ph] 4 Jun 2020</w:t>
      </w:r>
    </w:p>
    <w:p>
      <w:pPr>
        <w:pStyle w:val="Pieddepage"/>
        <w:rPr>
          <w:lang w:val="en-US"/>
        </w:rPr>
      </w:pPr>
      <w:r>
        <w:rPr>
          <w:lang w:val="en-US"/>
        </w:rPr>
      </w:r>
    </w:p>
    <w:p>
      <w:pPr>
        <w:pStyle w:val="Pieddepage"/>
        <w:rPr>
          <w:lang w:val="en-US"/>
        </w:rPr>
      </w:pPr>
      <w:r>
        <w:rPr>
          <w:lang w:val="en-US"/>
        </w:rPr>
        <w:t xml:space="preserve">[16] Daniel T. C. Cox|  Ilya M. D. Maclean|  Alexandra S. Gardner|  Kevin J. Gaston </w:t>
      </w:r>
    </w:p>
    <w:p>
      <w:pPr>
        <w:pStyle w:val="Pieddepage"/>
        <w:rPr>
          <w:i/>
          <w:i/>
          <w:iCs/>
          <w:lang w:val="en-US"/>
        </w:rPr>
      </w:pPr>
      <w:r>
        <w:rPr>
          <w:i/>
          <w:iCs/>
          <w:lang w:val="en-US"/>
        </w:rPr>
        <w:t>Global variation in diurnal asymmetry in temperature, cloud cover, specific humidity and precipitation and its association with leaf area index</w:t>
      </w:r>
    </w:p>
    <w:p>
      <w:pPr>
        <w:pStyle w:val="Pieddepage"/>
        <w:rPr>
          <w:lang w:val="en-US"/>
        </w:rPr>
      </w:pPr>
      <w:r>
        <w:rPr>
          <w:lang w:val="en-US"/>
        </w:rPr>
        <w:t xml:space="preserve">Glob. Change Biol.. 2020;26:7099–7111. | 7099 wiley online library.com/journal/gcb Received: 13April 2020 | Accepted: 11 August 2020DOI: 10.1111/gcb.15336 PRIMARY RESEARCH ARTICLES </w:t>
      </w:r>
    </w:p>
    <w:p>
      <w:pPr>
        <w:pStyle w:val="Pieddepage"/>
        <w:rPr>
          <w:lang w:val="en-US"/>
        </w:rPr>
      </w:pPr>
      <w:r>
        <w:rPr>
          <w:lang w:val="en-US"/>
        </w:rPr>
      </w:r>
    </w:p>
    <w:p>
      <w:pPr>
        <w:pStyle w:val="Pieddepage"/>
        <w:rPr>
          <w:lang w:val="en-US"/>
        </w:rPr>
      </w:pPr>
      <w:r>
        <w:rPr>
          <w:lang w:val="en-US"/>
        </w:rPr>
        <w:t>[17] Jamal Munshi, « Circular reasoning in climate ch</w:t>
      </w:r>
      <w:r>
        <w:rPr>
          <w:shd w:fill="FFFFFF" w:val="clear"/>
          <w:lang w:val="en-US"/>
        </w:rPr>
        <w:t xml:space="preserve">ange </w:t>
      </w:r>
      <w:r>
        <w:rPr>
          <w:lang w:val="en-US"/>
        </w:rPr>
        <w:t>research</w:t>
      </w:r>
      <w:r>
        <w:rPr>
          <w:i/>
          <w:iCs/>
          <w:lang w:val="en-US"/>
        </w:rPr>
        <w:t> </w:t>
      </w:r>
      <w:r>
        <w:rPr>
          <w:lang w:val="en-US"/>
        </w:rPr>
        <w:t>» (February, 26, 2018)</w:t>
      </w:r>
      <w:r>
        <w:rPr>
          <w:rFonts w:ascii="sans-serif" w:hAnsi="sans-serif"/>
          <w:lang w:val="en-US"/>
        </w:rPr>
        <w:t>.</w:t>
      </w:r>
    </w:p>
    <w:p>
      <w:pPr>
        <w:pStyle w:val="Normal"/>
        <w:rPr>
          <w:lang w:val="en-US"/>
        </w:rPr>
      </w:pPr>
      <w:r>
        <w:rPr>
          <w:lang w:val="en-US"/>
        </w:rPr>
        <w:t xml:space="preserve">Available at SSRN: </w:t>
      </w:r>
      <w:hyperlink r:id="rId16" w:tgtFrame="_blank">
        <w:r>
          <w:rPr>
            <w:rStyle w:val="LienInternet"/>
            <w:lang w:val="en-US"/>
          </w:rPr>
          <w:t>https://ssrn.com/abstract=3130131</w:t>
        </w:r>
      </w:hyperlink>
      <w:r>
        <w:rPr>
          <w:lang w:val="en-US"/>
        </w:rPr>
        <w:t xml:space="preserve"> or </w:t>
      </w:r>
      <w:hyperlink r:id="rId17" w:tgtFrame="_blank">
        <w:r>
          <w:rPr>
            <w:rStyle w:val="LienInternet"/>
            <w:lang w:val="en-US"/>
          </w:rPr>
          <w:t xml:space="preserve">http://dx.doi.org/10.2139/ssrn.3130131 </w:t>
        </w:r>
      </w:hyperlink>
    </w:p>
    <w:p>
      <w:pPr>
        <w:pStyle w:val="Pieddepage"/>
        <w:rPr>
          <w:b/>
          <w:b/>
          <w:bCs/>
          <w:lang w:val="en-US"/>
        </w:rPr>
      </w:pPr>
      <w:r>
        <w:rPr>
          <w:b/>
          <w:bCs/>
          <w:lang w:val="en-US"/>
        </w:rPr>
        <w:t xml:space="preserve">      </w:t>
      </w:r>
    </w:p>
    <w:p>
      <w:pPr>
        <w:pStyle w:val="Pieddepage"/>
        <w:rPr>
          <w:lang w:val="en-US"/>
        </w:rPr>
      </w:pPr>
      <w:r>
        <w:rPr>
          <w:lang w:val="en-US"/>
        </w:rPr>
        <w:t>[18] Jamal Munshi, « </w:t>
      </w:r>
      <w:r>
        <w:rPr>
          <w:i/>
          <w:iCs/>
          <w:lang w:val="en-US"/>
        </w:rPr>
        <w:t>An empirical test of the chemical theory of ozone depletion </w:t>
      </w:r>
      <w:r>
        <w:rPr>
          <w:lang w:val="en-US"/>
        </w:rPr>
        <w:t>» (January 21, 2016)</w:t>
      </w:r>
      <w:r>
        <w:rPr>
          <w:rFonts w:ascii="sans-serif" w:hAnsi="sans-serif"/>
          <w:lang w:val="en-US"/>
        </w:rPr>
        <w:t>.</w:t>
      </w:r>
    </w:p>
    <w:p>
      <w:pPr>
        <w:pStyle w:val="Normal"/>
        <w:rPr>
          <w:rFonts w:ascii="Times New Roman" w:hAnsi="Times New Roman"/>
          <w:b/>
          <w:b/>
          <w:bCs/>
          <w:lang w:val="en-US"/>
        </w:rPr>
      </w:pPr>
      <w:r>
        <w:rPr>
          <w:rFonts w:ascii="Times New Roman" w:hAnsi="Times New Roman"/>
          <w:sz w:val="22"/>
          <w:szCs w:val="22"/>
          <w:lang w:val="en-US"/>
        </w:rPr>
        <w:t xml:space="preserve">Available at SSRN: </w:t>
      </w:r>
      <w:hyperlink r:id="rId18" w:tgtFrame="_blank">
        <w:r>
          <w:rPr>
            <w:rStyle w:val="LienInternet"/>
            <w:rFonts w:ascii="Times New Roman" w:hAnsi="Times New Roman"/>
            <w:sz w:val="22"/>
            <w:szCs w:val="22"/>
            <w:lang w:val="en-US"/>
          </w:rPr>
          <w:t>https://ssrn.com/abstract=2719537</w:t>
        </w:r>
      </w:hyperlink>
      <w:r>
        <w:rPr>
          <w:rFonts w:ascii="Times New Roman" w:hAnsi="Times New Roman"/>
          <w:sz w:val="22"/>
          <w:szCs w:val="22"/>
          <w:lang w:val="en-US"/>
        </w:rPr>
        <w:t xml:space="preserve"> or </w:t>
      </w:r>
      <w:hyperlink r:id="rId19" w:tgtFrame="_blank">
        <w:r>
          <w:rPr>
            <w:rStyle w:val="LienInternet"/>
            <w:rFonts w:ascii="Times New Roman" w:hAnsi="Times New Roman"/>
            <w:sz w:val="22"/>
            <w:szCs w:val="22"/>
            <w:lang w:val="en-US"/>
          </w:rPr>
          <w:t xml:space="preserve">http://dx.doi.org/10.2139/ssrn.2719537 </w:t>
        </w:r>
      </w:hyperlink>
    </w:p>
    <w:sectPr>
      <w:footnotePr>
        <w:numFmt w:val="decimal"/>
      </w:footnotePr>
      <w:type w:val="continuous"/>
      <w:pgSz w:w="11906" w:h="16838"/>
      <w:pgMar w:left="1134" w:right="1134" w:gutter="0" w:header="1134" w:top="1693" w:footer="1134" w:bottom="1693"/>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Light">
    <w:charset w:val="01"/>
    <w:family w:val="roman"/>
    <w:pitch w:val="variable"/>
  </w:font>
  <w:font w:name="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Georgia">
    <w:charset w:val="01"/>
    <w:family w:val="roman"/>
    <w:pitch w:val="variable"/>
  </w:font>
  <w:font w:name="sans-serif">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depage"/>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Notedebasdepage"/>
        <w:ind w:left="0" w:hanging="0"/>
        <w:rPr/>
      </w:pPr>
      <w:r>
        <w:rPr>
          <w:rStyle w:val="Caractresdenotedebasdepage"/>
        </w:rPr>
        <w:footnoteRef/>
      </w:r>
      <w:r>
        <w:rPr/>
        <w:t xml:space="preserve">   </w:t>
      </w:r>
      <w:r>
        <w:rPr/>
        <w:t>Yves Courtieu – 247 Route de Verniaz , F 74200 Margencel</w:t>
      </w:r>
    </w:p>
    <w:p>
      <w:pPr>
        <w:pStyle w:val="Notedebasdepage"/>
        <w:rPr/>
      </w:pPr>
      <w:r>
        <w:rPr/>
        <w:t xml:space="preserve">email : yves.courtieu@florechablais.fr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Entte"/>
      <w:rPr/>
    </w:pPr>
    <w:r>
      <w:rPr/>
      <w:t xml:space="preserve">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10"/>
  <w:defaultTabStop w:val="709"/>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fr-F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fr-FR" w:eastAsia="zh-CN" w:bidi="hi-IN"/>
    </w:rPr>
  </w:style>
  <w:style w:type="paragraph" w:styleId="Titre1">
    <w:name w:val="Heading 1"/>
    <w:basedOn w:val="Normal"/>
    <w:next w:val="Normal"/>
    <w:link w:val="Titre1Car"/>
    <w:uiPriority w:val="9"/>
    <w:qFormat/>
    <w:rsid w:val="00d20187"/>
    <w:pPr>
      <w:keepNext w:val="true"/>
      <w:keepLines/>
      <w:spacing w:before="240" w:after="0"/>
      <w:outlineLvl w:val="0"/>
    </w:pPr>
    <w:rPr>
      <w:rFonts w:ascii="Calibri Light" w:hAnsi="Calibri Light" w:eastAsia="" w:cs="Mangal" w:asciiTheme="majorHAnsi" w:eastAsiaTheme="majorEastAsia" w:hAnsiTheme="majorHAnsi"/>
      <w:color w:val="2F5496" w:themeColor="accent1" w:themeShade="bf"/>
      <w:sz w:val="32"/>
      <w:szCs w:val="29"/>
    </w:rPr>
  </w:style>
  <w:style w:type="paragraph" w:styleId="Titre2">
    <w:name w:val="Heading 2"/>
    <w:basedOn w:val="Normal"/>
    <w:link w:val="Titre2Car"/>
    <w:uiPriority w:val="9"/>
    <w:qFormat/>
    <w:rsid w:val="00b23ce7"/>
    <w:pPr>
      <w:suppressAutoHyphens w:val="false"/>
      <w:spacing w:beforeAutospacing="1" w:afterAutospacing="1"/>
      <w:outlineLvl w:val="1"/>
    </w:pPr>
    <w:rPr>
      <w:rFonts w:ascii="Times New Roman" w:hAnsi="Times New Roman" w:eastAsia="Times New Roman" w:cs="Times New Roman"/>
      <w:b/>
      <w:bCs/>
      <w:kern w:val="0"/>
      <w:sz w:val="36"/>
      <w:szCs w:val="36"/>
      <w:lang w:eastAsia="fr-FR" w:bidi="ar-SA"/>
    </w:rPr>
  </w:style>
  <w:style w:type="character" w:styleId="DefaultParagraphFont" w:default="1">
    <w:name w:val="Default Paragraph Font"/>
    <w:uiPriority w:val="1"/>
    <w:semiHidden/>
    <w:unhideWhenUsed/>
    <w:qFormat/>
    <w:rPr/>
  </w:style>
  <w:style w:type="character" w:styleId="Caractresdenotedebasdepage" w:customStyle="1">
    <w:name w:val="Caractères de note de bas de page"/>
    <w:qFormat/>
    <w:rPr/>
  </w:style>
  <w:style w:type="character" w:styleId="Ancredenotedebasdepage" w:customStyle="1">
    <w:name w:val="Ancre de note de bas de page"/>
    <w:rPr>
      <w:vertAlign w:val="superscript"/>
    </w:rPr>
  </w:style>
  <w:style w:type="character" w:styleId="Puces" w:customStyle="1">
    <w:name w:val="Puces"/>
    <w:qFormat/>
    <w:rPr>
      <w:rFonts w:ascii="OpenSymbol" w:hAnsi="OpenSymbol" w:eastAsia="OpenSymbol" w:cs="OpenSymbol"/>
    </w:rPr>
  </w:style>
  <w:style w:type="character" w:styleId="Caractresdenumrotation" w:customStyle="1">
    <w:name w:val="Caractères de numérotation"/>
    <w:qFormat/>
    <w:rPr/>
  </w:style>
  <w:style w:type="character" w:styleId="LienInternet">
    <w:name w:val="Lien Internet"/>
    <w:basedOn w:val="DefaultParagraphFont"/>
    <w:uiPriority w:val="99"/>
    <w:unhideWhenUsed/>
    <w:rsid w:val="00a935ba"/>
    <w:rPr>
      <w:color w:val="0563C1" w:themeColor="hyperlink"/>
      <w:u w:val="single"/>
    </w:rPr>
  </w:style>
  <w:style w:type="character" w:styleId="Ancredenotedefin" w:customStyle="1">
    <w:name w:val="Ancre de note de fin"/>
    <w:rPr>
      <w:vertAlign w:val="superscript"/>
    </w:rPr>
  </w:style>
  <w:style w:type="character" w:styleId="Caractresdenotedefin" w:customStyle="1">
    <w:name w:val="Caractères de note de fin"/>
    <w:qFormat/>
    <w:rPr/>
  </w:style>
  <w:style w:type="character" w:styleId="UnresolvedMention">
    <w:name w:val="Unresolved Mention"/>
    <w:basedOn w:val="DefaultParagraphFont"/>
    <w:uiPriority w:val="99"/>
    <w:semiHidden/>
    <w:unhideWhenUsed/>
    <w:qFormat/>
    <w:rsid w:val="00a935ba"/>
    <w:rPr>
      <w:color w:val="605E5C"/>
      <w:shd w:fill="E1DFDD" w:val="clear"/>
    </w:rPr>
  </w:style>
  <w:style w:type="character" w:styleId="LienInternetvisit">
    <w:name w:val="Lien Internet visité"/>
    <w:basedOn w:val="DefaultParagraphFont"/>
    <w:uiPriority w:val="99"/>
    <w:semiHidden/>
    <w:unhideWhenUsed/>
    <w:rsid w:val="00202875"/>
    <w:rPr>
      <w:color w:val="954F72" w:themeColor="followedHyperlink"/>
      <w:u w:val="single"/>
    </w:rPr>
  </w:style>
  <w:style w:type="character" w:styleId="Titre2Car" w:customStyle="1">
    <w:name w:val="Titre 2 Car"/>
    <w:basedOn w:val="DefaultParagraphFont"/>
    <w:uiPriority w:val="9"/>
    <w:qFormat/>
    <w:rsid w:val="00b23ce7"/>
    <w:rPr>
      <w:rFonts w:ascii="Times New Roman" w:hAnsi="Times New Roman" w:eastAsia="Times New Roman" w:cs="Times New Roman"/>
      <w:b/>
      <w:bCs/>
      <w:kern w:val="0"/>
      <w:sz w:val="36"/>
      <w:szCs w:val="36"/>
      <w:lang w:eastAsia="fr-FR" w:bidi="ar-SA"/>
    </w:rPr>
  </w:style>
  <w:style w:type="character" w:styleId="Mwheadline" w:customStyle="1">
    <w:name w:val="mw-headline"/>
    <w:basedOn w:val="DefaultParagraphFont"/>
    <w:qFormat/>
    <w:rsid w:val="00b23ce7"/>
    <w:rPr/>
  </w:style>
  <w:style w:type="character" w:styleId="Titre1Car" w:customStyle="1">
    <w:name w:val="Titre 1 Car"/>
    <w:basedOn w:val="DefaultParagraphFont"/>
    <w:uiPriority w:val="9"/>
    <w:qFormat/>
    <w:rsid w:val="00d20187"/>
    <w:rPr>
      <w:rFonts w:ascii="Calibri Light" w:hAnsi="Calibri Light" w:eastAsia="" w:cs="Mangal" w:asciiTheme="majorHAnsi" w:eastAsiaTheme="majorEastAsia" w:hAnsiTheme="majorHAnsi"/>
      <w:color w:val="2F5496" w:themeColor="accent1" w:themeShade="bf"/>
      <w:sz w:val="32"/>
      <w:szCs w:val="29"/>
    </w:rPr>
  </w:style>
  <w:style w:type="character" w:styleId="Accentuation">
    <w:name w:val="Accentuation"/>
    <w:basedOn w:val="DefaultParagraphFont"/>
    <w:uiPriority w:val="20"/>
    <w:qFormat/>
    <w:rsid w:val="00d20187"/>
    <w:rPr>
      <w:i/>
      <w:iCs/>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style>
  <w:style w:type="paragraph" w:styleId="Lgende">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Titreprincipal">
    <w:name w:val="Title"/>
    <w:basedOn w:val="Normal"/>
    <w:next w:val="Corpsdetexte"/>
    <w:uiPriority w:val="10"/>
    <w:qFormat/>
    <w:pPr>
      <w:keepNext w:val="true"/>
      <w:spacing w:before="240" w:after="120"/>
    </w:pPr>
    <w:rPr>
      <w:rFonts w:ascii="Liberation Sans" w:hAnsi="Liberation Sans" w:eastAsia="Noto Sans CJK SC"/>
      <w:sz w:val="28"/>
      <w:szCs w:val="28"/>
    </w:rPr>
  </w:style>
  <w:style w:type="paragraph" w:styleId="Caption">
    <w:name w:val="caption"/>
    <w:basedOn w:val="Normal"/>
    <w:qFormat/>
    <w:pPr>
      <w:suppressLineNumbers/>
      <w:spacing w:before="120" w:after="120"/>
    </w:pPr>
    <w:rPr>
      <w:i/>
      <w:iCs/>
    </w:rPr>
  </w:style>
  <w:style w:type="paragraph" w:styleId="Contenudecadre" w:customStyle="1">
    <w:name w:val="Contenu de cadre"/>
    <w:basedOn w:val="Normal"/>
    <w:qFormat/>
    <w:pPr/>
    <w:rPr/>
  </w:style>
  <w:style w:type="paragraph" w:styleId="Notedebasdepage">
    <w:name w:val="Footnote Text"/>
    <w:basedOn w:val="Normal"/>
    <w:pPr>
      <w:suppressLineNumbers/>
      <w:ind w:left="340" w:hanging="340"/>
    </w:pPr>
    <w:rPr>
      <w:sz w:val="20"/>
      <w:szCs w:val="20"/>
    </w:rPr>
  </w:style>
  <w:style w:type="paragraph" w:styleId="Contenudetableau" w:customStyle="1">
    <w:name w:val="Contenu de tableau"/>
    <w:basedOn w:val="Normal"/>
    <w:qFormat/>
    <w:pPr>
      <w:widowControl w:val="false"/>
      <w:suppressLineNumbers/>
    </w:pPr>
    <w:rPr/>
  </w:style>
  <w:style w:type="paragraph" w:styleId="Titredetableau" w:customStyle="1">
    <w:name w:val="Titre de tableau"/>
    <w:basedOn w:val="Contenudetableau"/>
    <w:qFormat/>
    <w:pPr>
      <w:jc w:val="center"/>
    </w:pPr>
    <w:rPr>
      <w:b/>
      <w:bCs/>
    </w:rPr>
  </w:style>
  <w:style w:type="paragraph" w:styleId="Texteprformat" w:customStyle="1">
    <w:name w:val="Texte préformaté"/>
    <w:basedOn w:val="Normal"/>
    <w:qFormat/>
    <w:pPr/>
    <w:rPr>
      <w:rFonts w:ascii="Liberation Mono" w:hAnsi="Liberation Mono" w:eastAsia="Noto Sans Mono CJK SC" w:cs="Liberation Mono"/>
      <w:sz w:val="20"/>
      <w:szCs w:val="20"/>
    </w:rPr>
  </w:style>
  <w:style w:type="paragraph" w:styleId="Entteetpieddepage" w:customStyle="1">
    <w:name w:val="En-tête et pied de page"/>
    <w:basedOn w:val="Normal"/>
    <w:qFormat/>
    <w:pPr>
      <w:suppressLineNumbers/>
      <w:tabs>
        <w:tab w:val="clear" w:pos="709"/>
        <w:tab w:val="center" w:pos="4819" w:leader="none"/>
        <w:tab w:val="right" w:pos="9638" w:leader="none"/>
      </w:tabs>
    </w:pPr>
    <w:rPr/>
  </w:style>
  <w:style w:type="paragraph" w:styleId="Entte">
    <w:name w:val="Header"/>
    <w:basedOn w:val="Entteetpieddepage"/>
    <w:pPr/>
    <w:rPr/>
  </w:style>
  <w:style w:type="paragraph" w:styleId="Pieddepage">
    <w:name w:val="Footer"/>
    <w:basedOn w:val="Entteetpieddepage"/>
    <w:pPr/>
    <w:rPr/>
  </w:style>
  <w:style w:type="paragraph" w:styleId="NormalWeb">
    <w:name w:val="Normal (Web)"/>
    <w:basedOn w:val="Normal"/>
    <w:uiPriority w:val="99"/>
    <w:semiHidden/>
    <w:unhideWhenUsed/>
    <w:qFormat/>
    <w:rsid w:val="00b23ce7"/>
    <w:pPr>
      <w:suppressAutoHyphens w:val="false"/>
      <w:spacing w:beforeAutospacing="1" w:afterAutospacing="1"/>
    </w:pPr>
    <w:rPr>
      <w:rFonts w:ascii="Times New Roman" w:hAnsi="Times New Roman" w:eastAsia="Times New Roman" w:cs="Times New Roman"/>
      <w:kern w:val="0"/>
      <w:lang w:eastAsia="fr-FR" w:bidi="ar-SA"/>
    </w:rPr>
  </w:style>
  <w:style w:type="paragraph" w:styleId="ListParagraph">
    <w:name w:val="List Paragraph"/>
    <w:basedOn w:val="Normal"/>
    <w:uiPriority w:val="34"/>
    <w:qFormat/>
    <w:rsid w:val="00096045"/>
    <w:pPr>
      <w:spacing w:before="0" w:after="0"/>
      <w:ind w:left="720" w:hanging="0"/>
      <w:contextualSpacing/>
    </w:pPr>
    <w:rPr>
      <w:rFonts w:cs="Mangal"/>
      <w:szCs w:val="21"/>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n.wikipedia.org/wiki/Greenhouse_effect" TargetMode="External"/><Relationship Id="rId3" Type="http://schemas.openxmlformats.org/officeDocument/2006/relationships/image" Target="media/image1.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hyperlink" Target="https://arxiv.org/abs/0707.1161" TargetMode="External"/><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jpeg"/><Relationship Id="rId14" Type="http://schemas.openxmlformats.org/officeDocument/2006/relationships/image" Target="media/image9.png"/><Relationship Id="rId15" Type="http://schemas.openxmlformats.org/officeDocument/2006/relationships/hyperlink" Target="http://www.bibnum.education.fr/sciencesdelaterre/climatologie/la-theorie-de-la-chaleur-de-fourier-appliquee-la-temperature-de-la-te" TargetMode="External"/><Relationship Id="rId16" Type="http://schemas.openxmlformats.org/officeDocument/2006/relationships/hyperlink" Target="https://ssrn.com/abstract=3130131" TargetMode="External"/><Relationship Id="rId17" Type="http://schemas.openxmlformats.org/officeDocument/2006/relationships/hyperlink" Target="https://dx.doi.org/10.2139/ssrn.3130131" TargetMode="External"/><Relationship Id="rId18" Type="http://schemas.openxmlformats.org/officeDocument/2006/relationships/hyperlink" Target="https://ssrn.com/abstract=2719537" TargetMode="External"/><Relationship Id="rId19" Type="http://schemas.openxmlformats.org/officeDocument/2006/relationships/hyperlink" Target="https://dx.doi.org/10.2139/ssrn.2719537" TargetMode="External"/><Relationship Id="rId20" Type="http://schemas.openxmlformats.org/officeDocument/2006/relationships/footnotes" Target="footnotes.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Relationship Id="rId25" Type="http://schemas.openxmlformats.org/officeDocument/2006/relationships/customXml" Target="../customXml/item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DBF82-350B-48C2-854E-256C02514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Application>LibreOffice/7.3.7.2$Linux_X86_64 LibreOffice_project/30$Build-2</Application>
  <AppVersion>15.0000</AppVersion>
  <Pages>23</Pages>
  <Words>9320</Words>
  <Characters>45668</Characters>
  <CharactersWithSpaces>59664</CharactersWithSpaces>
  <Paragraphs>721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2023-07-12T10:58:00Z</dcterms:created>
  <dc:creator>Camille Veyres</dc:creator>
  <dc:description/>
  <dc:language>fr-FR</dc:language>
  <cp:lastModifiedBy/>
  <dcterms:modified xsi:type="dcterms:W3CDTF">2025-04-13T18:50:51Z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